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58" w:line="22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1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3" w:line="220" w:lineRule="exact"/>
        <w:ind w:left="0" w:right="0" w:firstLine="0"/>
      </w:pPr>
      <w:r>
        <w:rPr>
          <w:rStyle w:val="CharStyle5"/>
          <w:b w:val="0"/>
          <w:bCs w:val="0"/>
        </w:rPr>
        <w:t>Alkitab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L Al: 2004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Setiawan.Hari. </w:t>
      </w:r>
      <w:r>
        <w:rPr>
          <w:rStyle w:val="CharStyle8"/>
        </w:rPr>
        <w:t>Kamus Besar Bahasa Indonesia,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Surabaya: Karya Gemilang Utama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Ali,Muhammad. </w:t>
      </w:r>
      <w:r>
        <w:rPr>
          <w:rStyle w:val="CharStyle8"/>
        </w:rPr>
        <w:t>Penelitian Pendidikan dan Strategi,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Angkasa, 1997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Azhar, Arsyad. </w:t>
      </w:r>
      <w:r>
        <w:rPr>
          <w:rStyle w:val="CharStyle8"/>
        </w:rPr>
        <w:t>Media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PT. Raja Grapindo Persada, 2002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13"/>
        <w:ind w:left="0" w:right="0" w:firstLine="0"/>
      </w:pPr>
      <w:r>
        <w:rPr>
          <w:rStyle w:val="CharStyle12"/>
          <w:i w:val="0"/>
          <w:iCs w:val="0"/>
        </w:rPr>
        <w:t xml:space="preserve">A.M Sadinnan. </w:t>
      </w:r>
      <w:r>
        <w:rPr>
          <w:lang w:val="id-ID" w:eastAsia="id-ID" w:bidi="id-ID"/>
          <w:w w:val="100"/>
          <w:color w:val="000000"/>
          <w:position w:val="0"/>
        </w:rPr>
        <w:t>Interaksi dan Motivasi Belajar Mengajar,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Jakarta: CV Rajawali 1988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71" w:line="398" w:lineRule="exact"/>
        <w:ind w:left="0" w:right="0" w:firstLine="0"/>
      </w:pPr>
      <w:r>
        <w:rPr>
          <w:rStyle w:val="CharStyle12"/>
          <w:i w:val="0"/>
          <w:iCs w:val="0"/>
        </w:rPr>
        <w:t xml:space="preserve">Degeng, Nyoman S. </w:t>
      </w:r>
      <w:r>
        <w:rPr>
          <w:lang w:val="id-ID" w:eastAsia="id-ID" w:bidi="id-ID"/>
          <w:w w:val="100"/>
          <w:color w:val="000000"/>
          <w:position w:val="0"/>
        </w:rPr>
        <w:t xml:space="preserve">Ilmu Pembelajaran Klasifikasi </w:t>
      </w:r>
      <w:r>
        <w:rPr>
          <w:lang w:val="en-US" w:eastAsia="en-US" w:bidi="en-US"/>
          <w:w w:val="100"/>
          <w:color w:val="000000"/>
          <w:position w:val="0"/>
        </w:rPr>
        <w:t xml:space="preserve">Variable </w:t>
      </w:r>
      <w:r>
        <w:rPr>
          <w:lang w:val="id-ID" w:eastAsia="id-ID" w:bidi="id-ID"/>
          <w:w w:val="100"/>
          <w:color w:val="000000"/>
          <w:position w:val="0"/>
        </w:rPr>
        <w:t>untuk pengembangan Teori dan Penelitian,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Bandung: Yayasan kalam Hidup, 2013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7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Syaiful Bahri, </w:t>
      </w:r>
      <w:r>
        <w:rPr>
          <w:rStyle w:val="CharStyle8"/>
        </w:rPr>
        <w:t>Psikologi Belajar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Rineka Cipta, 2008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77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</w:t>
      </w:r>
      <w:r>
        <w:rPr>
          <w:rStyle w:val="CharStyle8"/>
          <w:lang w:val="en-US" w:eastAsia="en-US" w:bidi="en-US"/>
        </w:rPr>
        <w:t>Reginald.</w:t>
      </w:r>
      <w:r>
        <w:rPr>
          <w:rStyle w:val="CharStyle8"/>
        </w:rPr>
        <w:t>Penuntun sekolah Minggu,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Yayasan Komunikasi Bina Kasih, 1993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2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Hadi, Amirul. Metode Penelitian Pendidikan, Bandung: Pustaka Setia, 2005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84" w:line="220" w:lineRule="exact"/>
        <w:ind w:left="0" w:right="0" w:firstLine="0"/>
      </w:pPr>
      <w:r>
        <w:rPr>
          <w:rStyle w:val="CharStyle8"/>
        </w:rPr>
        <w:t>Jrvsmto.Psikologi umum,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Total Grafika, 2002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63" w:line="3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Lautfer, Ruth. </w:t>
      </w:r>
      <w:r>
        <w:rPr>
          <w:rStyle w:val="CharStyle8"/>
        </w:rPr>
        <w:t>Pedoman pelayanan Anak,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 Indonesia: Yayasan Persekutuan Pekabaran Injil Indonesia, 1993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6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Green. </w:t>
      </w:r>
      <w:r>
        <w:rPr>
          <w:rStyle w:val="CharStyle8"/>
          <w:lang w:val="en-US" w:eastAsia="en-US" w:bidi="en-US"/>
        </w:rPr>
        <w:t>Creative Slide,</w:t>
      </w:r>
      <w:r>
        <w:rPr>
          <w:rStyle w:val="CharStyle9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Colorade: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Libraries Unlimited Inc Littleton, 1996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Liang, Gie The. Cara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Belajar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Baik Bagi Mahasiswa, Yogyakarta: GajahMada,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2004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9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Rahman Abror </w:t>
      </w:r>
      <w:r>
        <w:rPr>
          <w:rStyle w:val="CharStyle8"/>
        </w:rPr>
        <w:t>AM.Psikologi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Yogyakarta: PT Tiara Wacana, 1989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7" w:line="387" w:lineRule="exact"/>
        <w:ind w:left="0" w:right="0" w:firstLine="0"/>
      </w:pPr>
      <w:r>
        <w:rPr>
          <w:rStyle w:val="CharStyle12"/>
          <w:i w:val="0"/>
          <w:iCs w:val="0"/>
        </w:rPr>
        <w:t xml:space="preserve">Sidjabat, B.S. </w:t>
      </w:r>
      <w:r>
        <w:rPr>
          <w:lang w:val="id-ID" w:eastAsia="id-ID" w:bidi="id-ID"/>
          <w:w w:val="100"/>
          <w:color w:val="000000"/>
          <w:position w:val="0"/>
        </w:rPr>
        <w:t>Mengajar Secara Profesional, Mewujudkan Visi Guru Yang Profesional,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Bandung: Yayasan Kalam Hidup,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55" w:line="3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Sudjana, Nana. </w:t>
      </w:r>
      <w:r>
        <w:rPr>
          <w:rStyle w:val="CharStyle8"/>
        </w:rPr>
        <w:t>Dasar-dasar Proses Mengajar,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sinar Baru Agresindo, 1989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85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Sanaky, AH </w:t>
      </w:r>
      <w:r>
        <w:rPr>
          <w:rStyle w:val="CharStyle8"/>
        </w:rPr>
        <w:t>HujaiiMedia Pembelajaran</w:t>
      </w:r>
      <w:r>
        <w:rPr>
          <w:rStyle w:val="CharStyle14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Safiria Insania Press,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62" w:line="38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Slameto.Se/q/or </w:t>
      </w:r>
      <w:r>
        <w:rPr>
          <w:rStyle w:val="CharStyle8"/>
        </w:rPr>
        <w:t>Dan Faktor-Faktor Yang Mempengaruhinya,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Rineka Cipta, 1987 Sugiyono. Metode Penelitian Kuantitatif, Kualitatif Bandung: CV Alfabeta,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6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Sugiyono. Metode Penelitian Kuantitatif, Kualitatif, Bandung: CV Alfabeta,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Wahyuni Esa Nur dan Baharuddin, </w:t>
      </w:r>
      <w:r>
        <w:rPr>
          <w:rStyle w:val="CharStyle8"/>
        </w:rPr>
        <w:t>Teori Belajar dan Pembelajaran,</w:t>
      </w:r>
      <w:r>
        <w:rPr>
          <w:rStyle w:val="CharStyle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Ar-ruzz Media Group, 2007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0" w:right="0" w:firstLine="0"/>
      </w:pPr>
      <w:r>
        <w:rPr>
          <w:rStyle w:val="CharStyle17"/>
        </w:rPr>
        <w:t xml:space="preserve">http ://ahmadsudraiat, wordpress.com/medi a .pembelai aran- 1/html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httpxom/2008/10/med://a2i3s-c0ol blogspot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ia-pembelajaran.htm</w:t>
      </w:r>
    </w:p>
    <w:sectPr>
      <w:footnotePr>
        <w:pos w:val="pageBottom"/>
        <w:numFmt w:val="decimal"/>
        <w:numRestart w:val="continuous"/>
      </w:footnotePr>
      <w:pgSz w:w="12240" w:h="15840"/>
      <w:pgMar w:top="1819" w:left="1638" w:right="3106" w:bottom="199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3) + 10.5 pt,Not Bold,Italic,Spacing 0 pt"/>
    <w:basedOn w:val="CharStyle4"/>
    <w:rPr>
      <w:lang w:val="id-ID" w:eastAsia="id-ID" w:bidi="id-ID"/>
      <w:b/>
      <w:bCs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Body text (2) + Italic,Spacing 0 pt"/>
    <w:basedOn w:val="CharStyle7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9">
    <w:name w:val="Body text (2) + 11 pt,Bold"/>
    <w:basedOn w:val="CharStyle7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2">
    <w:name w:val="Body text (4) + Not Italic,Spacing 0 pt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4) + 11 pt,Bold,Not Italic,Spacing 0 pt"/>
    <w:basedOn w:val="CharStyle11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2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Corbel" w:eastAsia="Corbel" w:hAnsi="Corbel" w:cs="Corbel"/>
    </w:rPr>
  </w:style>
  <w:style w:type="character" w:customStyle="1" w:styleId="CharStyle17">
    <w:name w:val="Body text (2)"/>
    <w:basedOn w:val="CharStyle7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before="360" w:after="120" w:line="373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after="120" w:line="39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both"/>
      <w:spacing w:before="120" w:line="573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orbel" w:eastAsia="Corbel" w:hAnsi="Corbel" w:cs="Corbe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