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/>
        <w:ind w:left="21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Kamus, dan 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W.R.F., </w:t>
      </w:r>
      <w:r>
        <w:rPr>
          <w:rStyle w:val="CharStyle10"/>
        </w:rPr>
        <w:t>Kamus Akiilab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0"/>
        </w:rPr>
        <w:t xml:space="preserve">Kamus Besar Bahasa Indonesia: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Balai Pustaka,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Indonesia, 2000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48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Mariyanto, ErneS, </w:t>
      </w:r>
      <w:r>
        <w:rPr>
          <w:rStyle w:val="CharStyle10"/>
        </w:rPr>
        <w:t>Kamus Liturgi Sederhana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Yogyakarta: Kanisius,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Pamantung, Salmon. 2009. </w:t>
      </w:r>
      <w:r>
        <w:rPr>
          <w:rStyle w:val="CharStyle10"/>
        </w:rPr>
        <w:t>Diciptakan Untuk Bekerja.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STAKN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Marampa’ Jurnal Teologi vol. 2.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November, Pendidikan dan Kemasyarakatan Buku-buku Karangan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Baldwin,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G., </w:t>
      </w:r>
      <w:r>
        <w:rPr>
          <w:rStyle w:val="CharStyle10"/>
        </w:rPr>
        <w:t>Tafsiran Alkitab Masa Kini J Kejadian- Ester: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Yayasan Komunikasi Bina Kasih/OMF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Berkhof, H, I.H.Enklaar, </w:t>
      </w:r>
      <w:r>
        <w:rPr>
          <w:rStyle w:val="CharStyle10"/>
        </w:rPr>
        <w:t>Sejarah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Gere/aJakarta, BPK Gunung Mulia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Beyer, Ulrich,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Evalina Simamora, </w:t>
      </w:r>
      <w:r>
        <w:rPr>
          <w:rStyle w:val="CharStyle10"/>
        </w:rPr>
        <w:t>Memberi Dengan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Sukacita: Jakarta, BPK Gunung Mulia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Wesley, </w:t>
      </w:r>
      <w:r>
        <w:rPr>
          <w:rStyle w:val="CharStyle10"/>
        </w:rPr>
        <w:t>Tafsiran Surat Tesalonika: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Bandung, Yayasan Kalam Hidup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Brink,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Ds. H. v. d., </w:t>
      </w:r>
      <w:r>
        <w:rPr>
          <w:rStyle w:val="CharStyle10"/>
        </w:rPr>
        <w:t>Tafsiran Alkitab Kisah Para Rasu: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BPK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Calvin, Johanes, </w:t>
      </w:r>
      <w:r>
        <w:rPr>
          <w:rStyle w:val="CharStyle10"/>
        </w:rPr>
        <w:t xml:space="preserve">Inlitutio Pengajaran Agama </w:t>
      </w:r>
      <w:r>
        <w:rPr>
          <w:rStyle w:val="CharStyle10"/>
          <w:lang w:val="en-US" w:eastAsia="en-US" w:bidi="en-US"/>
        </w:rPr>
        <w:t>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 2013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64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Dixon,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R., </w:t>
      </w:r>
      <w:r>
        <w:rPr>
          <w:rStyle w:val="CharStyle10"/>
        </w:rPr>
        <w:t>Ta/siran Kisah Para Rasul: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Surabaya, Gandum Mas, 2005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</w:t>
      </w:r>
      <w:r>
        <w:rPr>
          <w:rStyle w:val="CharStyle10"/>
        </w:rPr>
        <w:t>Iman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 Th., </w:t>
      </w:r>
      <w:r>
        <w:rPr>
          <w:rStyle w:val="CharStyle10"/>
        </w:rPr>
        <w:t>Manusia Toraja: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Tangmentoe, Institut Theologia, 1983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Theodoras, </w:t>
      </w:r>
      <w:r>
        <w:rPr>
          <w:rStyle w:val="CharStyle10"/>
        </w:rPr>
        <w:t>Injil dan 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Jakarta, BPK Gunung Mulia.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Robert, </w:t>
      </w:r>
      <w:r>
        <w:rPr>
          <w:rStyle w:val="CharStyle10"/>
        </w:rPr>
        <w:t>Ta/siran Alkitab Kitab Imamat: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BPK Gunung Mulia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Robert, </w:t>
      </w:r>
      <w:r>
        <w:rPr>
          <w:rStyle w:val="CharStyle10"/>
        </w:rPr>
        <w:t>Ta/siran Alkitab Kitab Keluaran: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BPK Gunung Mulia, 2006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Narbuko, Choli dan H. Abu Achmadi, </w:t>
      </w:r>
      <w:r>
        <w:rPr>
          <w:rStyle w:val="CharStyle10"/>
        </w:rPr>
        <w:t>Metodologi Penelitian: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PT Bumi Aksara,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Plaisier, Bas, </w:t>
      </w:r>
      <w:r>
        <w:rPr>
          <w:rStyle w:val="CharStyle10"/>
        </w:rPr>
        <w:t>Menjembatani Jurang, Menembus Batas: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2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Sarlra, J.A., BA, </w:t>
      </w:r>
      <w:r>
        <w:rPr>
          <w:rStyle w:val="CharStyle10"/>
        </w:rPr>
        <w:t>Benih Yang Tumbuh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FZRantepao, Badan Pekeija Sinode Gereja Toraja Rantepao, 1974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SJ,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Adolf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Heuken, </w:t>
      </w:r>
      <w:r>
        <w:rPr>
          <w:rStyle w:val="CharStyle10"/>
        </w:rPr>
        <w:t>Ensiklopedi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Yayasan Cipta Loka Caraka, 2006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/>
      </w:pPr>
      <w:r>
        <w:rPr>
          <w:rStyle w:val="CharStyle13"/>
          <w:lang w:val="en-US" w:eastAsia="en-US" w:bidi="en-US"/>
          <w:i w:val="0"/>
          <w:iCs w:val="0"/>
        </w:rPr>
        <w:t xml:space="preserve">Subagyo, Andres </w:t>
      </w:r>
      <w:r>
        <w:rPr>
          <w:rStyle w:val="CharStyle13"/>
          <w:i w:val="0"/>
          <w:iCs w:val="0"/>
        </w:rPr>
        <w:t xml:space="preserve">B., </w:t>
      </w:r>
      <w:r>
        <w:rPr>
          <w:lang w:val="id-ID" w:eastAsia="id-ID" w:bidi="id-ID"/>
          <w:w w:val="100"/>
          <w:color w:val="000000"/>
          <w:position w:val="0"/>
        </w:rPr>
        <w:t>Pengantar Riset Kuantati/dan Kualitati/, Termasuk Riset Teologi dan Keagamaan:</w:t>
      </w:r>
      <w:r>
        <w:rPr>
          <w:rStyle w:val="CharStyle13"/>
          <w:i w:val="0"/>
          <w:iCs w:val="0"/>
        </w:rPr>
        <w:t xml:space="preserve"> cet. 1 Yayasan Kalam Hidup, 2004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640" w:right="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Kuantitatif Kualitati/dan R &amp; :</w:t>
      </w:r>
      <w:r>
        <w:rPr>
          <w:rStyle w:val="CharStyle13"/>
          <w:i w:val="0"/>
          <w:iCs w:val="0"/>
        </w:rPr>
        <w:t xml:space="preserve"> Cet. 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Alfabeta, Bandung,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Sugiono, </w:t>
      </w:r>
      <w:r>
        <w:rPr>
          <w:rStyle w:val="CharStyle10"/>
        </w:rPr>
        <w:t>Memahami Penelitian Kualitatif: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Bandung, Alfabeta, 2012 Sukmadinata, Nana Syaodin, </w:t>
      </w:r>
      <w:r>
        <w:rPr>
          <w:rStyle w:val="CharStyle10"/>
        </w:rPr>
        <w:t>Metode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cet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Kelima: PT Remaja Rosdakarya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Offset-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Bandung, 2009 Tangdilintin, L. T., </w:t>
      </w:r>
      <w:r>
        <w:rPr>
          <w:rStyle w:val="CharStyle10"/>
        </w:rPr>
        <w:t>Toraja dan kebudayaannya-J mu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Toraja, Yayasan Lepongan Bui a, 1980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66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Niftrik, G.C, B.J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</w:t>
      </w:r>
      <w:r>
        <w:rPr>
          <w:rStyle w:val="CharStyle10"/>
        </w:rPr>
        <w:t>Dogmatika Masa Kini: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BPK Gunung Mulia, 2009</w:t>
      </w:r>
    </w:p>
    <w:sectPr>
      <w:headerReference w:type="default" r:id="rId5"/>
      <w:head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1910" w:left="2541" w:right="3347" w:bottom="299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0.25pt;margin-top:34.3pt;width:8.65pt;height:4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3</w:t>
                </w:r>
                <w:r>
                  <w:rPr>
                    <w:rStyle w:val="CharStyle15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34.5pt;margin-top:34.25pt;width:9.7pt;height:4.6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3J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Header or footer + Arial,4.5 pt,Italic"/>
    <w:basedOn w:val="CharStyle6"/>
    <w:rPr>
      <w:i/>
      <w:iCs/>
      <w:sz w:val="9"/>
      <w:szCs w:val="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5">
    <w:name w:val="Header or footer + 5.5 pt,Italic"/>
    <w:basedOn w:val="CharStyle6"/>
    <w:rPr>
      <w:i/>
      <w:iCs/>
      <w:sz w:val="11"/>
      <w:szCs w:val="11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70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707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486" w:lineRule="exact"/>
      <w:ind w:hanging="32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