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5208" w:rsidRDefault="00CF5208" w:rsidP="00CF5208">
      <w:pPr>
        <w:pStyle w:val="Heading1"/>
        <w:spacing w:after="389"/>
      </w:pPr>
      <w:r>
        <w:t xml:space="preserve">BAB II </w:t>
      </w:r>
    </w:p>
    <w:p w:rsidR="00CF5208" w:rsidRDefault="00CF5208" w:rsidP="00CF5208">
      <w:pPr>
        <w:pStyle w:val="Heading1"/>
        <w:spacing w:after="355"/>
      </w:pPr>
      <w:r>
        <w:t xml:space="preserve">KAJIAN TEORI </w:t>
      </w:r>
    </w:p>
    <w:p w:rsidR="00CF5208" w:rsidRDefault="00CF5208" w:rsidP="00CF5208">
      <w:pPr>
        <w:spacing w:after="60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CF5208" w:rsidRDefault="00CF5208" w:rsidP="00CF5208">
      <w:pPr>
        <w:numPr>
          <w:ilvl w:val="0"/>
          <w:numId w:val="1"/>
        </w:numPr>
        <w:spacing w:after="354" w:line="246" w:lineRule="auto"/>
        <w:ind w:right="-15" w:hanging="283"/>
        <w:jc w:val="left"/>
      </w:pPr>
      <w:proofErr w:type="spellStart"/>
      <w:r>
        <w:rPr>
          <w:b/>
        </w:rPr>
        <w:t>Ekologi</w:t>
      </w:r>
      <w:proofErr w:type="spellEnd"/>
      <w:r>
        <w:rPr>
          <w:b/>
        </w:rPr>
        <w:t xml:space="preserve"> </w:t>
      </w:r>
    </w:p>
    <w:p w:rsidR="00CF5208" w:rsidRDefault="00CF5208" w:rsidP="00CF5208">
      <w:pPr>
        <w:spacing w:after="501"/>
        <w:ind w:left="-15" w:firstLine="720"/>
      </w:pPr>
      <w:proofErr w:type="spellStart"/>
      <w:r>
        <w:t>Definisi</w:t>
      </w:r>
      <w:proofErr w:type="spellEnd"/>
      <w:r>
        <w:t xml:space="preserve"> </w:t>
      </w:r>
      <w:proofErr w:type="spellStart"/>
      <w:r>
        <w:t>ekologi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oleh </w:t>
      </w:r>
      <w:proofErr w:type="spellStart"/>
      <w:r>
        <w:t>Andrewarth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“</w:t>
      </w:r>
      <w:r>
        <w:rPr>
          <w:i/>
        </w:rPr>
        <w:t>ecology is the scientific study of the distribution and abundance of organism</w:t>
      </w:r>
      <w:r>
        <w:t xml:space="preserve">”. </w:t>
      </w:r>
      <w:proofErr w:type="spellStart"/>
      <w:r>
        <w:t>Begon</w:t>
      </w:r>
      <w:proofErr w:type="spellEnd"/>
      <w:r>
        <w:t xml:space="preserve">, Townsend, dan Harper </w:t>
      </w:r>
      <w:proofErr w:type="spellStart"/>
      <w:r>
        <w:t>memodifikasi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dikutip</w:t>
      </w:r>
      <w:proofErr w:type="spellEnd"/>
      <w:r>
        <w:t xml:space="preserve"> oleh Agustina Pasang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tulisannya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ekologi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yang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penyebaran</w:t>
      </w:r>
      <w:proofErr w:type="spellEnd"/>
      <w:r>
        <w:t xml:space="preserve"> </w:t>
      </w:r>
      <w:proofErr w:type="spellStart"/>
      <w:r>
        <w:t>organisme</w:t>
      </w:r>
      <w:proofErr w:type="spellEnd"/>
      <w:r>
        <w:t xml:space="preserve"> dan </w:t>
      </w:r>
      <w:proofErr w:type="spellStart"/>
      <w:r>
        <w:t>kelimpahannya</w:t>
      </w:r>
      <w:proofErr w:type="spellEnd"/>
      <w:r>
        <w:t>.</w:t>
      </w:r>
      <w:r>
        <w:rPr>
          <w:sz w:val="20"/>
          <w:vertAlign w:val="superscript"/>
        </w:rPr>
        <w:footnoteReference w:id="1"/>
      </w:r>
      <w:r>
        <w:t xml:space="preserve"> Otto </w:t>
      </w:r>
      <w:proofErr w:type="spellStart"/>
      <w:r>
        <w:t>Soemarwoto</w:t>
      </w:r>
      <w:proofErr w:type="spellEnd"/>
      <w:r>
        <w:t xml:space="preserve"> </w:t>
      </w:r>
      <w:proofErr w:type="spellStart"/>
      <w:r>
        <w:t>mengutip</w:t>
      </w:r>
      <w:proofErr w:type="spellEnd"/>
      <w:r>
        <w:t xml:space="preserve"> Steve </w:t>
      </w:r>
      <w:proofErr w:type="spellStart"/>
      <w:r>
        <w:t>Pullock</w:t>
      </w:r>
      <w:proofErr w:type="spellEnd"/>
      <w:r>
        <w:t xml:space="preserve">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ekologi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yang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makluk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(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spesies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antarspesies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)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makluk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lingkungannya</w:t>
      </w:r>
      <w:proofErr w:type="spellEnd"/>
      <w:r>
        <w:t xml:space="preserve">. </w:t>
      </w:r>
      <w:proofErr w:type="spellStart"/>
      <w:r>
        <w:t>Menegaskan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Otto </w:t>
      </w:r>
      <w:proofErr w:type="spellStart"/>
      <w:r>
        <w:t>Soemarwoto</w:t>
      </w:r>
      <w:proofErr w:type="spellEnd"/>
      <w:r>
        <w:t xml:space="preserve">, </w:t>
      </w:r>
      <w:proofErr w:type="spellStart"/>
      <w:r>
        <w:t>seorang</w:t>
      </w:r>
      <w:proofErr w:type="spellEnd"/>
      <w:r>
        <w:t xml:space="preserve"> guru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Ekologi</w:t>
      </w:r>
      <w:proofErr w:type="spellEnd"/>
      <w:r>
        <w:t xml:space="preserve"> di </w:t>
      </w:r>
      <w:proofErr w:type="spellStart"/>
      <w:r>
        <w:t>beberapa</w:t>
      </w:r>
      <w:proofErr w:type="spellEnd"/>
      <w:r>
        <w:t xml:space="preserve"> universitas </w:t>
      </w:r>
      <w:proofErr w:type="spellStart"/>
      <w:r>
        <w:t>terkemuka</w:t>
      </w:r>
      <w:proofErr w:type="spellEnd"/>
      <w:r>
        <w:t xml:space="preserve"> di Indonesia </w:t>
      </w:r>
      <w:proofErr w:type="spellStart"/>
      <w:r>
        <w:t>mendefinisikan</w:t>
      </w:r>
      <w:proofErr w:type="spellEnd"/>
      <w:r>
        <w:t xml:space="preserve"> </w:t>
      </w:r>
      <w:proofErr w:type="spellStart"/>
      <w:r>
        <w:t>ekologi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timbal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makluk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lingkungannya</w:t>
      </w:r>
      <w:proofErr w:type="spellEnd"/>
      <w:r>
        <w:t>.</w:t>
      </w:r>
      <w:r>
        <w:rPr>
          <w:sz w:val="20"/>
          <w:vertAlign w:val="superscript"/>
        </w:rPr>
        <w:footnoteReference w:id="2"/>
      </w:r>
      <w:r>
        <w:t xml:space="preserve"> </w:t>
      </w:r>
    </w:p>
    <w:p w:rsidR="00CF5208" w:rsidRDefault="00CF5208" w:rsidP="00CF5208">
      <w:pPr>
        <w:ind w:left="-15" w:firstLine="720"/>
      </w:pPr>
      <w:r>
        <w:t xml:space="preserve">Dari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ekologi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ekologi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yang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sekitarnya</w:t>
      </w:r>
      <w:proofErr w:type="spellEnd"/>
      <w:r>
        <w:t xml:space="preserve">. </w:t>
      </w:r>
    </w:p>
    <w:p w:rsidR="00CF5208" w:rsidRDefault="00CF5208" w:rsidP="00CF5208">
      <w:pPr>
        <w:spacing w:after="56" w:line="240" w:lineRule="auto"/>
        <w:ind w:left="720" w:firstLine="0"/>
        <w:jc w:val="left"/>
      </w:pPr>
      <w:r>
        <w:t xml:space="preserve"> </w:t>
      </w:r>
    </w:p>
    <w:p w:rsidR="00CF5208" w:rsidRDefault="00CF5208" w:rsidP="00CF5208">
      <w:pPr>
        <w:numPr>
          <w:ilvl w:val="0"/>
          <w:numId w:val="1"/>
        </w:numPr>
        <w:spacing w:after="354" w:line="246" w:lineRule="auto"/>
        <w:ind w:right="-15" w:hanging="283"/>
        <w:jc w:val="left"/>
      </w:pPr>
      <w:proofErr w:type="spellStart"/>
      <w:r>
        <w:rPr>
          <w:b/>
        </w:rPr>
        <w:t>Hubungan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Ekologi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Manusia</w:t>
      </w:r>
      <w:proofErr w:type="spellEnd"/>
      <w:r>
        <w:rPr>
          <w:b/>
        </w:rPr>
        <w:t xml:space="preserve"> </w:t>
      </w:r>
    </w:p>
    <w:p w:rsidR="00CF5208" w:rsidRDefault="00CF5208" w:rsidP="00CF5208">
      <w:pPr>
        <w:ind w:left="-15" w:firstLine="720"/>
      </w:pPr>
      <w:r>
        <w:t xml:space="preserve">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korelasi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dan </w:t>
      </w:r>
      <w:proofErr w:type="spellStart"/>
      <w:r>
        <w:t>alam</w:t>
      </w:r>
      <w:proofErr w:type="spellEnd"/>
      <w:r>
        <w:t xml:space="preserve">. </w:t>
      </w:r>
      <w:proofErr w:type="spellStart"/>
      <w:r>
        <w:t>Setidaknya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tida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korelasi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dan </w:t>
      </w:r>
      <w:proofErr w:type="spellStart"/>
      <w:r>
        <w:t>alam</w:t>
      </w:r>
      <w:proofErr w:type="spellEnd"/>
      <w:r>
        <w:t xml:space="preserve"> yang </w:t>
      </w:r>
      <w:proofErr w:type="spellStart"/>
      <w:r>
        <w:lastRenderedPageBreak/>
        <w:t>ditulis</w:t>
      </w:r>
      <w:proofErr w:type="spellEnd"/>
      <w:r>
        <w:t xml:space="preserve"> oleh Yohanes </w:t>
      </w:r>
      <w:proofErr w:type="spellStart"/>
      <w:r>
        <w:t>Krismantyo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penelitiannya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lain: 1)</w:t>
      </w:r>
      <w:r>
        <w:rPr>
          <w:i/>
        </w:rPr>
        <w:t xml:space="preserve"> Utilitarian Anthropocentrism</w:t>
      </w:r>
      <w:r>
        <w:t xml:space="preserve">. 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Allah.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sebabnya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diposisikan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mendominasi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,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Inilah</w:t>
      </w:r>
      <w:proofErr w:type="spellEnd"/>
      <w:r>
        <w:t xml:space="preserve">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arogan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eksploitasi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berlebihan</w:t>
      </w:r>
      <w:proofErr w:type="spellEnd"/>
      <w:r>
        <w:t xml:space="preserve"> dan </w:t>
      </w:r>
      <w:proofErr w:type="spellStart"/>
      <w:r>
        <w:t>merusaknya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perlahan</w:t>
      </w:r>
      <w:proofErr w:type="spellEnd"/>
      <w:r>
        <w:t>.</w:t>
      </w:r>
      <w:r>
        <w:rPr>
          <w:sz w:val="20"/>
          <w:vertAlign w:val="superscript"/>
        </w:rPr>
        <w:footnoteReference w:id="3"/>
      </w:r>
      <w:r>
        <w:t xml:space="preserve"> 2) </w:t>
      </w:r>
      <w:r>
        <w:rPr>
          <w:i/>
        </w:rPr>
        <w:t>Nature Centered Approach</w:t>
      </w:r>
      <w:r>
        <w:t xml:space="preserve">.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dan </w:t>
      </w:r>
      <w:proofErr w:type="spellStart"/>
      <w:r>
        <w:t>rupa</w:t>
      </w:r>
      <w:proofErr w:type="spellEnd"/>
      <w:r>
        <w:t xml:space="preserve"> Allah,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bukanlah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penciptaan</w:t>
      </w:r>
      <w:proofErr w:type="spellEnd"/>
      <w:r>
        <w:t xml:space="preserve">.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meninggalkan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(</w:t>
      </w:r>
      <w:r>
        <w:rPr>
          <w:i/>
        </w:rPr>
        <w:t>Utilitarian Anthropocentrism</w:t>
      </w:r>
      <w:r>
        <w:t xml:space="preserve">),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bebruat</w:t>
      </w:r>
      <w:proofErr w:type="spellEnd"/>
      <w:r>
        <w:t xml:space="preserve"> </w:t>
      </w:r>
      <w:proofErr w:type="spellStart"/>
      <w:r>
        <w:t>seenaknya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manusia</w:t>
      </w:r>
      <w:proofErr w:type="spellEnd"/>
      <w:r>
        <w:t xml:space="preserve"> dan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saudara</w:t>
      </w:r>
      <w:proofErr w:type="spellEnd"/>
      <w:r>
        <w:t>.</w:t>
      </w:r>
      <w:r>
        <w:rPr>
          <w:sz w:val="20"/>
          <w:vertAlign w:val="superscript"/>
        </w:rPr>
        <w:footnoteReference w:id="4"/>
      </w:r>
      <w:r>
        <w:t xml:space="preserve"> 3) </w:t>
      </w:r>
      <w:r>
        <w:rPr>
          <w:i/>
        </w:rPr>
        <w:t>Anthropocentrism of Responsibility</w:t>
      </w:r>
      <w:r>
        <w:t xml:space="preserve">.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etis</w:t>
      </w:r>
      <w:proofErr w:type="spellEnd"/>
      <w:r>
        <w:t xml:space="preserve">, </w:t>
      </w:r>
      <w:proofErr w:type="spellStart"/>
      <w:r>
        <w:t>menjaga</w:t>
      </w:r>
      <w:proofErr w:type="spellEnd"/>
      <w:r>
        <w:t xml:space="preserve"> dan </w:t>
      </w:r>
      <w:proofErr w:type="spellStart"/>
      <w:r>
        <w:t>melestarikan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malah</w:t>
      </w:r>
      <w:proofErr w:type="spellEnd"/>
      <w:r>
        <w:t xml:space="preserve"> </w:t>
      </w:r>
      <w:proofErr w:type="spellStart"/>
      <w:r>
        <w:t>merusaknya</w:t>
      </w:r>
      <w:proofErr w:type="spellEnd"/>
      <w:r>
        <w:t xml:space="preserve">. </w:t>
      </w:r>
      <w:proofErr w:type="spellStart"/>
      <w:r>
        <w:t>Panadangan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selerasa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dan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memperlengkapi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dan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>.</w:t>
      </w:r>
      <w:r>
        <w:rPr>
          <w:sz w:val="20"/>
          <w:vertAlign w:val="superscript"/>
        </w:rPr>
        <w:footnoteReference w:id="5"/>
      </w:r>
      <w:r>
        <w:t xml:space="preserve"> </w:t>
      </w:r>
    </w:p>
    <w:p w:rsidR="00CF5208" w:rsidRDefault="00CF5208" w:rsidP="00CF5208">
      <w:pPr>
        <w:spacing w:after="58" w:line="240" w:lineRule="auto"/>
        <w:ind w:left="720" w:firstLine="0"/>
        <w:jc w:val="left"/>
      </w:pPr>
      <w:r>
        <w:t xml:space="preserve"> </w:t>
      </w:r>
    </w:p>
    <w:p w:rsidR="00CF5208" w:rsidRDefault="00CF5208" w:rsidP="00CF5208">
      <w:pPr>
        <w:numPr>
          <w:ilvl w:val="0"/>
          <w:numId w:val="1"/>
        </w:numPr>
        <w:spacing w:after="354" w:line="246" w:lineRule="auto"/>
        <w:ind w:right="-15" w:hanging="283"/>
        <w:jc w:val="left"/>
      </w:pPr>
      <w:proofErr w:type="spellStart"/>
      <w:r>
        <w:rPr>
          <w:b/>
        </w:rPr>
        <w:t>Ekologi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Gereja</w:t>
      </w:r>
      <w:proofErr w:type="spellEnd"/>
      <w:r>
        <w:rPr>
          <w:b/>
        </w:rPr>
        <w:t xml:space="preserve"> </w:t>
      </w:r>
    </w:p>
    <w:p w:rsidR="00CF5208" w:rsidRDefault="00CF5208" w:rsidP="00CF5208">
      <w:pPr>
        <w:ind w:left="-15" w:firstLine="720"/>
      </w:pPr>
      <w:r>
        <w:t xml:space="preserve">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Krisis</w:t>
      </w:r>
      <w:proofErr w:type="spellEnd"/>
      <w:r>
        <w:t xml:space="preserve"> </w:t>
      </w:r>
      <w:proofErr w:type="spellStart"/>
      <w:r>
        <w:t>Ekologi</w:t>
      </w:r>
      <w:proofErr w:type="spellEnd"/>
      <w:r>
        <w:t xml:space="preserve">. 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dsinggung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Gerrit </w:t>
      </w:r>
      <w:proofErr w:type="spellStart"/>
      <w:r>
        <w:lastRenderedPageBreak/>
        <w:t>Singgih</w:t>
      </w:r>
      <w:proofErr w:type="spellEnd"/>
      <w:r>
        <w:t xml:space="preserve"> yang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krisis</w:t>
      </w:r>
      <w:proofErr w:type="spellEnd"/>
      <w:r>
        <w:t xml:space="preserve"> </w:t>
      </w:r>
      <w:proofErr w:type="spellStart"/>
      <w:r>
        <w:t>ekologi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berteologi</w:t>
      </w:r>
      <w:proofErr w:type="spellEnd"/>
      <w:r>
        <w:t xml:space="preserve"> yang </w:t>
      </w:r>
      <w:proofErr w:type="spellStart"/>
      <w:r>
        <w:t>diperhatikan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digumuli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. </w:t>
      </w:r>
    </w:p>
    <w:p w:rsidR="00CF5208" w:rsidRDefault="00CF5208" w:rsidP="00CF5208">
      <w:r>
        <w:t xml:space="preserve">Selain Gerrit </w:t>
      </w:r>
      <w:proofErr w:type="spellStart"/>
      <w:r>
        <w:t>Singgih</w:t>
      </w:r>
      <w:proofErr w:type="spellEnd"/>
      <w:r>
        <w:t xml:space="preserve">,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teolog-teolog</w:t>
      </w:r>
      <w:proofErr w:type="spellEnd"/>
      <w:r>
        <w:t xml:space="preserve"> yang </w:t>
      </w:r>
      <w:proofErr w:type="spellStart"/>
      <w:r>
        <w:t>mengumandangkan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betapa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berteologi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Bimo</w:t>
      </w:r>
      <w:proofErr w:type="spellEnd"/>
      <w:r>
        <w:t xml:space="preserve"> Utomo, </w:t>
      </w:r>
      <w:proofErr w:type="spellStart"/>
      <w:r>
        <w:t>pihak</w:t>
      </w:r>
      <w:proofErr w:type="spellEnd"/>
      <w:r>
        <w:t xml:space="preserve"> orang Kristen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abai</w:t>
      </w:r>
      <w:proofErr w:type="spellEnd"/>
      <w:r>
        <w:t xml:space="preserve"> pada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ekologi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orang </w:t>
      </w:r>
    </w:p>
    <w:p w:rsidR="00CF5208" w:rsidRDefault="00CF5208" w:rsidP="00CF5208">
      <w:pPr>
        <w:spacing w:line="240" w:lineRule="auto"/>
      </w:pPr>
      <w:r>
        <w:t xml:space="preserve">Kristen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ekologi</w:t>
      </w:r>
      <w:proofErr w:type="spellEnd"/>
      <w:r>
        <w:t xml:space="preserve">, pada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Perdamaian</w:t>
      </w:r>
      <w:proofErr w:type="spellEnd"/>
      <w:r>
        <w:t xml:space="preserve"> </w:t>
      </w:r>
    </w:p>
    <w:p w:rsidR="00CF5208" w:rsidRDefault="00CF5208" w:rsidP="00CF5208">
      <w:pPr>
        <w:spacing w:after="340" w:line="547" w:lineRule="auto"/>
        <w:ind w:left="-15" w:firstLine="0"/>
      </w:pPr>
      <w:proofErr w:type="spellStart"/>
      <w:r>
        <w:t>Sedunia</w:t>
      </w:r>
      <w:proofErr w:type="spellEnd"/>
      <w:r>
        <w:t xml:space="preserve">, Paus Yohanes Paulus II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Paus Yohanes Paulus II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dikutip</w:t>
      </w:r>
      <w:proofErr w:type="spellEnd"/>
      <w:r>
        <w:t xml:space="preserve"> oleh </w:t>
      </w:r>
      <w:proofErr w:type="spellStart"/>
      <w:r>
        <w:t>Sunarko</w:t>
      </w:r>
      <w:proofErr w:type="spellEnd"/>
      <w:r>
        <w:t xml:space="preserve"> dan </w:t>
      </w:r>
      <w:proofErr w:type="spellStart"/>
      <w:r>
        <w:t>Kristiyanto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tulisannya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: </w:t>
      </w:r>
    </w:p>
    <w:p w:rsidR="00CF5208" w:rsidRDefault="00CF5208" w:rsidP="00CF5208">
      <w:pPr>
        <w:spacing w:after="499"/>
        <w:ind w:left="0" w:firstLine="0"/>
      </w:pPr>
      <w:r>
        <w:t xml:space="preserve">        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, </w:t>
      </w:r>
      <w:proofErr w:type="spellStart"/>
      <w:r>
        <w:t>pesan</w:t>
      </w:r>
      <w:proofErr w:type="spellEnd"/>
      <w:r>
        <w:t xml:space="preserve"> Paus Yohanes Paulus II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alarm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 Kristen,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Allah </w:t>
      </w:r>
      <w:proofErr w:type="spellStart"/>
      <w:r>
        <w:t>haruslah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dan </w:t>
      </w:r>
      <w:proofErr w:type="spellStart"/>
      <w:r>
        <w:t>melestarikan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. </w:t>
      </w:r>
      <w:proofErr w:type="spellStart"/>
      <w:r>
        <w:t>Sebab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orang Kristen </w:t>
      </w:r>
      <w:proofErr w:type="spellStart"/>
      <w:r>
        <w:t>mengabaikan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dampaknya</w:t>
      </w:r>
      <w:proofErr w:type="spellEnd"/>
      <w:r>
        <w:t xml:space="preserve"> (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lebik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peperangan</w:t>
      </w:r>
      <w:proofErr w:type="spellEnd"/>
      <w:r>
        <w:t xml:space="preserve"> </w:t>
      </w:r>
      <w:proofErr w:type="spellStart"/>
      <w:r>
        <w:t>senjata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. </w:t>
      </w:r>
    </w:p>
    <w:p w:rsidR="00CF5208" w:rsidRDefault="00CF5208" w:rsidP="00CF5208">
      <w:pPr>
        <w:ind w:left="-15" w:firstLine="720"/>
      </w:pPr>
      <w:r>
        <w:t xml:space="preserve">Kritik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 Kristen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dilontarkan</w:t>
      </w:r>
      <w:proofErr w:type="spellEnd"/>
      <w:r>
        <w:t xml:space="preserve"> oleh Lynn White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ekologi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Menurutnya</w:t>
      </w:r>
      <w:proofErr w:type="spellEnd"/>
      <w:r>
        <w:t xml:space="preserve">,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 orang Kristen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seimbang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doktrin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penguasa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(</w:t>
      </w:r>
      <w:proofErr w:type="spellStart"/>
      <w:r>
        <w:t>lih</w:t>
      </w:r>
      <w:proofErr w:type="spellEnd"/>
      <w:r>
        <w:t xml:space="preserve">. Kej. 1:27-28). Lynn </w:t>
      </w:r>
      <w:proofErr w:type="spellStart"/>
      <w:r>
        <w:t>melihat</w:t>
      </w:r>
      <w:proofErr w:type="spellEnd"/>
      <w:r>
        <w:t xml:space="preserve"> </w:t>
      </w:r>
    </w:p>
    <w:p w:rsidR="00CF5208" w:rsidRDefault="00CF5208" w:rsidP="00CF5208">
      <w:pPr>
        <w:spacing w:after="505" w:line="240" w:lineRule="auto"/>
      </w:pPr>
      <w:proofErr w:type="spellStart"/>
      <w:r>
        <w:t>ketidakseimbangan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berani</w:t>
      </w:r>
      <w:proofErr w:type="spellEnd"/>
      <w:r>
        <w:t xml:space="preserve"> </w:t>
      </w:r>
      <w:proofErr w:type="spellStart"/>
      <w:r>
        <w:t>mengeksploitasi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berlebihan</w:t>
      </w:r>
      <w:proofErr w:type="spellEnd"/>
      <w:r>
        <w:t xml:space="preserve">.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sebabnya</w:t>
      </w:r>
      <w:proofErr w:type="spellEnd"/>
      <w:r>
        <w:t xml:space="preserve">,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ekologi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serius</w:t>
      </w:r>
      <w:proofErr w:type="spellEnd"/>
      <w:r>
        <w:t xml:space="preserve"> juga.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kaku</w:t>
      </w:r>
      <w:proofErr w:type="spellEnd"/>
      <w:r>
        <w:t xml:space="preserve"> pada </w:t>
      </w:r>
      <w:proofErr w:type="spellStart"/>
      <w:r>
        <w:t>ajaran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antroposentris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apalagi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dalang</w:t>
      </w:r>
      <w:proofErr w:type="spellEnd"/>
      <w:r>
        <w:t xml:space="preserve"> </w:t>
      </w:r>
      <w:proofErr w:type="spellStart"/>
      <w:r>
        <w:t>perusakan</w:t>
      </w:r>
      <w:proofErr w:type="spellEnd"/>
      <w:r>
        <w:t xml:space="preserve"> </w:t>
      </w:r>
      <w:proofErr w:type="spellStart"/>
      <w:r>
        <w:t>ekologi</w:t>
      </w:r>
      <w:proofErr w:type="spellEnd"/>
      <w:r>
        <w:t xml:space="preserve">. </w:t>
      </w:r>
      <w:proofErr w:type="spellStart"/>
      <w:r>
        <w:t>Antroposentris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lastRenderedPageBreak/>
        <w:t>Kejadian</w:t>
      </w:r>
      <w:proofErr w:type="spellEnd"/>
      <w:r>
        <w:t xml:space="preserve"> 1:26-28, yang </w:t>
      </w:r>
      <w:proofErr w:type="spellStart"/>
      <w:r>
        <w:t>menurut</w:t>
      </w:r>
      <w:proofErr w:type="spellEnd"/>
      <w:r>
        <w:t xml:space="preserve"> Lynn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dikutip</w:t>
      </w:r>
      <w:proofErr w:type="spellEnd"/>
      <w:r>
        <w:t xml:space="preserve"> oleh Martin Harun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biang</w:t>
      </w:r>
      <w:proofErr w:type="spellEnd"/>
      <w:r>
        <w:t xml:space="preserve"> </w:t>
      </w:r>
      <w:proofErr w:type="spellStart"/>
      <w:r>
        <w:t>keladi</w:t>
      </w:r>
      <w:proofErr w:type="spellEnd"/>
      <w:r>
        <w:t xml:space="preserve"> </w:t>
      </w:r>
      <w:proofErr w:type="spellStart"/>
      <w:r>
        <w:t>beraninya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eksploitasi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berlebihan</w:t>
      </w:r>
      <w:proofErr w:type="spellEnd"/>
      <w:r>
        <w:t>.</w:t>
      </w:r>
      <w:r>
        <w:rPr>
          <w:sz w:val="20"/>
          <w:vertAlign w:val="superscript"/>
        </w:rPr>
        <w:footnoteReference w:id="6"/>
      </w:r>
      <w:r>
        <w:t xml:space="preserve"> </w:t>
      </w:r>
    </w:p>
    <w:p w:rsidR="00CF5208" w:rsidRDefault="00CF5208" w:rsidP="00CF5208">
      <w:pPr>
        <w:ind w:left="-15" w:firstLine="720"/>
      </w:pPr>
      <w:proofErr w:type="spellStart"/>
      <w:r>
        <w:t>Melihat</w:t>
      </w:r>
      <w:proofErr w:type="spellEnd"/>
      <w:r>
        <w:t xml:space="preserve"> </w:t>
      </w:r>
      <w:proofErr w:type="spellStart"/>
      <w:r>
        <w:t>realitas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Telaumbanua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tulisannya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 </w:t>
      </w:r>
      <w:proofErr w:type="spellStart"/>
      <w:r>
        <w:t>merespon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ekologi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sangatlah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dan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yang </w:t>
      </w:r>
      <w:proofErr w:type="spellStart"/>
      <w:r>
        <w:t>serius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. Sulit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khotbah-khotbah</w:t>
      </w:r>
      <w:proofErr w:type="spellEnd"/>
      <w:r>
        <w:t xml:space="preserve"> yang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ekologi</w:t>
      </w:r>
      <w:proofErr w:type="spellEnd"/>
      <w:r>
        <w:t xml:space="preserve">.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perkotaan</w:t>
      </w:r>
      <w:proofErr w:type="spellEnd"/>
      <w:r>
        <w:t xml:space="preserve">, </w:t>
      </w:r>
      <w:proofErr w:type="spellStart"/>
      <w:r>
        <w:t>justru</w:t>
      </w:r>
      <w:proofErr w:type="spellEnd"/>
      <w:r>
        <w:t xml:space="preserve"> </w:t>
      </w:r>
      <w:proofErr w:type="spellStart"/>
      <w:r>
        <w:t>merekalah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penyumbang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ekologi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menghemat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, </w:t>
      </w:r>
      <w:proofErr w:type="spellStart"/>
      <w:r>
        <w:t>pemakaian</w:t>
      </w:r>
      <w:proofErr w:type="spellEnd"/>
      <w:r>
        <w:t xml:space="preserve"> AC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berlebihan</w:t>
      </w:r>
      <w:proofErr w:type="spellEnd"/>
      <w:r>
        <w:t xml:space="preserve">, dan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mementingkan</w:t>
      </w:r>
      <w:proofErr w:type="spellEnd"/>
      <w:r>
        <w:t xml:space="preserve"> </w:t>
      </w:r>
      <w:proofErr w:type="spellStart"/>
      <w:r>
        <w:t>dekorasi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program-program </w:t>
      </w:r>
      <w:proofErr w:type="spellStart"/>
      <w:r>
        <w:t>penghijauan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. </w:t>
      </w:r>
      <w:proofErr w:type="spellStart"/>
      <w:r>
        <w:t>Telaumbanua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seakan-akan</w:t>
      </w:r>
      <w:proofErr w:type="spellEnd"/>
      <w:r>
        <w:t xml:space="preserve"> </w:t>
      </w:r>
      <w:proofErr w:type="spellStart"/>
      <w:r>
        <w:t>meleset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perannya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pembawa</w:t>
      </w:r>
      <w:proofErr w:type="spellEnd"/>
      <w:r>
        <w:t xml:space="preserve"> </w:t>
      </w:r>
      <w:proofErr w:type="spellStart"/>
      <w:r>
        <w:t>damai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dunia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abai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ekologi</w:t>
      </w:r>
      <w:proofErr w:type="spellEnd"/>
      <w:r>
        <w:t>.</w:t>
      </w:r>
      <w:r>
        <w:rPr>
          <w:sz w:val="20"/>
          <w:vertAlign w:val="superscript"/>
        </w:rPr>
        <w:footnoteReference w:id="7"/>
      </w:r>
      <w:r>
        <w:t xml:space="preserve"> </w:t>
      </w:r>
    </w:p>
    <w:p w:rsidR="00CF5208" w:rsidRDefault="00CF5208" w:rsidP="00CF5208">
      <w:pPr>
        <w:spacing w:after="55" w:line="240" w:lineRule="auto"/>
        <w:ind w:left="720" w:firstLine="0"/>
        <w:jc w:val="left"/>
      </w:pPr>
      <w:r>
        <w:t xml:space="preserve"> </w:t>
      </w:r>
      <w:proofErr w:type="spellStart"/>
      <w:r>
        <w:t>Menurut</w:t>
      </w:r>
      <w:proofErr w:type="spellEnd"/>
      <w:r>
        <w:t xml:space="preserve"> Mimi Doe </w:t>
      </w:r>
      <w:proofErr w:type="spellStart"/>
      <w:r>
        <w:t>spiritualitas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kepercayaannya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sesautu</w:t>
      </w:r>
      <w:proofErr w:type="spellEnd"/>
      <w:r>
        <w:t xml:space="preserve"> non-</w:t>
      </w:r>
      <w:proofErr w:type="spellStart"/>
      <w:r>
        <w:t>fisik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.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Tuhan. Jadi, </w:t>
      </w:r>
      <w:proofErr w:type="spellStart"/>
      <w:r>
        <w:t>spiritualitas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bagiamana</w:t>
      </w:r>
      <w:proofErr w:type="spellEnd"/>
      <w:r>
        <w:t xml:space="preserve"> </w:t>
      </w:r>
      <w:proofErr w:type="spellStart"/>
      <w:r>
        <w:t>hubungannya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Tuhannya</w:t>
      </w:r>
      <w:proofErr w:type="spellEnd"/>
      <w:r>
        <w:t>.</w:t>
      </w:r>
      <w:r>
        <w:rPr>
          <w:sz w:val="20"/>
          <w:vertAlign w:val="superscript"/>
        </w:rPr>
        <w:footnoteReference w:id="8"/>
      </w:r>
      <w:r>
        <w:t xml:space="preserve"> </w:t>
      </w:r>
    </w:p>
    <w:p w:rsidR="00CF5208" w:rsidRDefault="00CF5208" w:rsidP="00CF5208">
      <w:pPr>
        <w:spacing w:line="240" w:lineRule="auto"/>
      </w:pPr>
      <w:r>
        <w:t xml:space="preserve"> Garry Thomas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bukunya</w:t>
      </w:r>
      <w:proofErr w:type="spellEnd"/>
      <w:r>
        <w:t xml:space="preserve"> </w:t>
      </w:r>
      <w:proofErr w:type="spellStart"/>
      <w:r>
        <w:t>membagi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9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</w:p>
    <w:p w:rsidR="00CF5208" w:rsidRDefault="00CF5208" w:rsidP="00CF5208">
      <w:pPr>
        <w:spacing w:after="514"/>
      </w:pPr>
      <w:proofErr w:type="spellStart"/>
      <w:r>
        <w:t>membangun</w:t>
      </w:r>
      <w:proofErr w:type="spellEnd"/>
      <w:r>
        <w:t xml:space="preserve"> </w:t>
      </w:r>
      <w:proofErr w:type="spellStart"/>
      <w:r>
        <w:t>relasi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Tuhan, </w:t>
      </w:r>
      <w:proofErr w:type="spellStart"/>
      <w:r>
        <w:t>antara</w:t>
      </w:r>
      <w:proofErr w:type="spellEnd"/>
      <w:r>
        <w:t xml:space="preserve"> lain: </w:t>
      </w:r>
    </w:p>
    <w:p w:rsidR="00CF5208" w:rsidRDefault="00CF5208" w:rsidP="00CF5208">
      <w:pPr>
        <w:spacing w:after="353" w:line="240" w:lineRule="auto"/>
        <w:ind w:left="0" w:firstLine="0"/>
        <w:jc w:val="center"/>
      </w:pPr>
    </w:p>
    <w:p w:rsidR="00CF5208" w:rsidRDefault="00CF5208" w:rsidP="00CF5208">
      <w:pPr>
        <w:spacing w:after="353" w:line="240" w:lineRule="auto"/>
        <w:ind w:left="0" w:firstLine="0"/>
        <w:jc w:val="center"/>
      </w:pPr>
      <w:r>
        <w:rPr>
          <w:b/>
        </w:rPr>
        <w:t xml:space="preserve"> </w:t>
      </w:r>
    </w:p>
    <w:p w:rsidR="00E97581" w:rsidRDefault="00E97581"/>
    <w:sectPr w:rsidR="00E97581" w:rsidSect="00027029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00D6" w:rsidRDefault="009100D6" w:rsidP="00CF5208">
      <w:pPr>
        <w:spacing w:after="0" w:line="240" w:lineRule="auto"/>
      </w:pPr>
      <w:r>
        <w:separator/>
      </w:r>
    </w:p>
  </w:endnote>
  <w:endnote w:type="continuationSeparator" w:id="0">
    <w:p w:rsidR="009100D6" w:rsidRDefault="009100D6" w:rsidP="00CF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00D6" w:rsidRDefault="009100D6" w:rsidP="00CF5208">
      <w:pPr>
        <w:spacing w:after="0" w:line="240" w:lineRule="auto"/>
      </w:pPr>
      <w:r>
        <w:separator/>
      </w:r>
    </w:p>
  </w:footnote>
  <w:footnote w:type="continuationSeparator" w:id="0">
    <w:p w:rsidR="009100D6" w:rsidRDefault="009100D6" w:rsidP="00CF5208">
      <w:pPr>
        <w:spacing w:after="0" w:line="240" w:lineRule="auto"/>
      </w:pPr>
      <w:r>
        <w:continuationSeparator/>
      </w:r>
    </w:p>
  </w:footnote>
  <w:footnote w:id="1">
    <w:p w:rsidR="00CF5208" w:rsidRDefault="00CF5208" w:rsidP="00CF5208">
      <w:pPr>
        <w:pStyle w:val="footnotedescription"/>
        <w:spacing w:after="48"/>
        <w:ind w:left="720"/>
      </w:pPr>
      <w:r>
        <w:rPr>
          <w:rStyle w:val="footnotemark"/>
        </w:rPr>
        <w:footnoteRef/>
      </w:r>
      <w:r>
        <w:t xml:space="preserve"> Agustina Pasang, “</w:t>
      </w:r>
      <w:proofErr w:type="spellStart"/>
      <w:r>
        <w:t>Ekologi</w:t>
      </w:r>
      <w:proofErr w:type="spellEnd"/>
      <w:r>
        <w:t xml:space="preserve"> </w:t>
      </w:r>
      <w:proofErr w:type="spellStart"/>
      <w:r>
        <w:t>Penciptaan</w:t>
      </w:r>
      <w:proofErr w:type="spellEnd"/>
      <w:r>
        <w:t xml:space="preserve"> Dalam </w:t>
      </w:r>
      <w:proofErr w:type="spellStart"/>
      <w:r>
        <w:t>Kejadian</w:t>
      </w:r>
      <w:proofErr w:type="spellEnd"/>
      <w:r>
        <w:t xml:space="preserve"> 1-3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</w:p>
    <w:p w:rsidR="00CF5208" w:rsidRDefault="00CF5208" w:rsidP="00CF5208">
      <w:pPr>
        <w:pStyle w:val="footnotedescription"/>
        <w:spacing w:line="274" w:lineRule="auto"/>
      </w:pPr>
      <w:proofErr w:type="spellStart"/>
      <w:r>
        <w:t>Kritis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Ekologis</w:t>
      </w:r>
      <w:proofErr w:type="spellEnd"/>
      <w:r>
        <w:t xml:space="preserve"> Para </w:t>
      </w:r>
      <w:proofErr w:type="spellStart"/>
      <w:r>
        <w:t>Teolog</w:t>
      </w:r>
      <w:proofErr w:type="spellEnd"/>
      <w:r>
        <w:t xml:space="preserve"> Reformed Indonesia Masa Kini,” </w:t>
      </w:r>
      <w:r>
        <w:rPr>
          <w:i/>
        </w:rPr>
        <w:t xml:space="preserve">Excelsis Deo: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Teologi</w:t>
      </w:r>
      <w:proofErr w:type="spellEnd"/>
      <w:r>
        <w:rPr>
          <w:i/>
        </w:rPr>
        <w:t xml:space="preserve"> dan Pendidikan Kristen</w:t>
      </w:r>
      <w:r>
        <w:t xml:space="preserve"> 3, No. 1 (2019), https://sttexcelsius.ac.id/ejournal/index.php/excelsisdeo/article/view/2. </w:t>
      </w:r>
    </w:p>
  </w:footnote>
  <w:footnote w:id="2">
    <w:p w:rsidR="00CF5208" w:rsidRDefault="00CF5208" w:rsidP="00CF5208">
      <w:pPr>
        <w:pStyle w:val="footnotedescription"/>
        <w:spacing w:line="282" w:lineRule="auto"/>
        <w:ind w:firstLine="720"/>
        <w:jc w:val="both"/>
      </w:pPr>
      <w:r>
        <w:rPr>
          <w:rStyle w:val="footnotemark"/>
        </w:rPr>
        <w:footnoteRef/>
      </w:r>
      <w:r>
        <w:t xml:space="preserve"> Otto </w:t>
      </w:r>
      <w:proofErr w:type="spellStart"/>
      <w:r>
        <w:t>Soemarwoto</w:t>
      </w:r>
      <w:proofErr w:type="spellEnd"/>
      <w:proofErr w:type="gramStart"/>
      <w:r>
        <w:t xml:space="preserve">, </w:t>
      </w:r>
      <w:r>
        <w:rPr>
          <w:i/>
        </w:rPr>
        <w:t>,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Ekologi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Lingkungan</w:t>
      </w:r>
      <w:proofErr w:type="spellEnd"/>
      <w:r>
        <w:rPr>
          <w:i/>
        </w:rPr>
        <w:t xml:space="preserve"> Hidup Dan Pembangunan</w:t>
      </w:r>
      <w:r>
        <w:t xml:space="preserve"> (Jakarta: </w:t>
      </w:r>
      <w:proofErr w:type="spellStart"/>
      <w:r>
        <w:t>Penerbit</w:t>
      </w:r>
      <w:proofErr w:type="spellEnd"/>
      <w:r>
        <w:t xml:space="preserve"> </w:t>
      </w:r>
      <w:proofErr w:type="spellStart"/>
      <w:r>
        <w:t>Djambatan</w:t>
      </w:r>
      <w:proofErr w:type="spellEnd"/>
      <w:r>
        <w:t xml:space="preserve">, 2014), 376. </w:t>
      </w:r>
    </w:p>
  </w:footnote>
  <w:footnote w:id="3">
    <w:p w:rsidR="00CF5208" w:rsidRDefault="00CF5208" w:rsidP="00CF5208">
      <w:pPr>
        <w:pStyle w:val="footnotedescription"/>
        <w:spacing w:after="43" w:line="285" w:lineRule="auto"/>
        <w:ind w:firstLine="720"/>
        <w:jc w:val="both"/>
      </w:pPr>
      <w:r>
        <w:rPr>
          <w:rStyle w:val="footnotemark"/>
        </w:rPr>
        <w:footnoteRef/>
      </w:r>
      <w:r>
        <w:t xml:space="preserve"> Yohanes </w:t>
      </w:r>
      <w:proofErr w:type="spellStart"/>
      <w:r>
        <w:t>Krismantyo</w:t>
      </w:r>
      <w:proofErr w:type="spellEnd"/>
      <w:r>
        <w:t xml:space="preserve"> Susanta, </w:t>
      </w:r>
      <w:proofErr w:type="spellStart"/>
      <w:r>
        <w:rPr>
          <w:i/>
        </w:rPr>
        <w:t>Teologi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Kontekstual</w:t>
      </w:r>
      <w:proofErr w:type="spellEnd"/>
      <w:r>
        <w:rPr>
          <w:i/>
        </w:rPr>
        <w:t xml:space="preserve"> &amp; </w:t>
      </w:r>
      <w:proofErr w:type="spellStart"/>
      <w:r>
        <w:rPr>
          <w:i/>
        </w:rPr>
        <w:t>Kearifan</w:t>
      </w:r>
      <w:proofErr w:type="spellEnd"/>
      <w:r>
        <w:rPr>
          <w:i/>
        </w:rPr>
        <w:t xml:space="preserve"> Lokal Toraja</w:t>
      </w:r>
      <w:r>
        <w:t xml:space="preserve"> (Jakarta: BPK </w:t>
      </w:r>
      <w:proofErr w:type="spellStart"/>
      <w:r>
        <w:t>Gunung</w:t>
      </w:r>
      <w:proofErr w:type="spellEnd"/>
      <w:r>
        <w:t xml:space="preserve"> Mulia, 2020), 169-170. </w:t>
      </w:r>
    </w:p>
  </w:footnote>
  <w:footnote w:id="4">
    <w:p w:rsidR="00CF5208" w:rsidRDefault="00CF5208" w:rsidP="00CF5208">
      <w:pPr>
        <w:pStyle w:val="footnotedescription"/>
        <w:spacing w:after="53"/>
        <w:ind w:left="720"/>
      </w:pPr>
      <w:r>
        <w:rPr>
          <w:rStyle w:val="footnotemark"/>
        </w:rPr>
        <w:footnoteRef/>
      </w:r>
      <w:r>
        <w:t xml:space="preserve"> Ibid, 171. </w:t>
      </w:r>
    </w:p>
  </w:footnote>
  <w:footnote w:id="5">
    <w:p w:rsidR="00CF5208" w:rsidRDefault="00CF5208" w:rsidP="00CF5208">
      <w:pPr>
        <w:pStyle w:val="footnotedescription"/>
        <w:ind w:left="720"/>
      </w:pPr>
      <w:r>
        <w:rPr>
          <w:rStyle w:val="footnotemark"/>
        </w:rPr>
        <w:footnoteRef/>
      </w:r>
      <w:r>
        <w:t xml:space="preserve"> Ibid, 172. </w:t>
      </w:r>
    </w:p>
  </w:footnote>
  <w:footnote w:id="6">
    <w:p w:rsidR="00CF5208" w:rsidRDefault="00CF5208" w:rsidP="00CF5208">
      <w:pPr>
        <w:pStyle w:val="footnotedescription"/>
        <w:spacing w:line="288" w:lineRule="auto"/>
        <w:ind w:firstLine="720"/>
      </w:pPr>
      <w:r>
        <w:rPr>
          <w:rStyle w:val="footnotemark"/>
        </w:rPr>
        <w:footnoteRef/>
      </w:r>
      <w:r>
        <w:t xml:space="preserve"> Martin Harun, </w:t>
      </w:r>
      <w:r>
        <w:rPr>
          <w:i/>
        </w:rPr>
        <w:t xml:space="preserve">Iman Yang </w:t>
      </w:r>
      <w:proofErr w:type="spellStart"/>
      <w:r>
        <w:rPr>
          <w:i/>
        </w:rPr>
        <w:t>Merangkul</w:t>
      </w:r>
      <w:proofErr w:type="spellEnd"/>
      <w:r>
        <w:rPr>
          <w:i/>
        </w:rPr>
        <w:t xml:space="preserve"> Bumi: </w:t>
      </w:r>
      <w:proofErr w:type="spellStart"/>
      <w:r>
        <w:rPr>
          <w:i/>
        </w:rPr>
        <w:t>Mempertanggungjawabkan</w:t>
      </w:r>
      <w:proofErr w:type="spellEnd"/>
      <w:r>
        <w:rPr>
          <w:i/>
        </w:rPr>
        <w:t xml:space="preserve"> Iman Di </w:t>
      </w:r>
      <w:proofErr w:type="spellStart"/>
      <w:r>
        <w:rPr>
          <w:i/>
        </w:rPr>
        <w:t>Hadapan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Persoalan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Ekologi</w:t>
      </w:r>
      <w:proofErr w:type="spellEnd"/>
      <w:r>
        <w:t xml:space="preserve"> (Jakarta: </w:t>
      </w:r>
      <w:proofErr w:type="spellStart"/>
      <w:r>
        <w:t>Penerbit</w:t>
      </w:r>
      <w:proofErr w:type="spellEnd"/>
      <w:r>
        <w:t xml:space="preserve"> </w:t>
      </w:r>
      <w:proofErr w:type="spellStart"/>
      <w:r>
        <w:t>Obor</w:t>
      </w:r>
      <w:proofErr w:type="spellEnd"/>
      <w:r>
        <w:t xml:space="preserve">, 2013). </w:t>
      </w:r>
    </w:p>
  </w:footnote>
  <w:footnote w:id="7">
    <w:p w:rsidR="00CF5208" w:rsidRDefault="00CF5208" w:rsidP="00CF5208">
      <w:pPr>
        <w:pStyle w:val="footnotedescription"/>
        <w:spacing w:after="43" w:line="281" w:lineRule="auto"/>
        <w:ind w:firstLine="720"/>
      </w:pPr>
      <w:r>
        <w:rPr>
          <w:rStyle w:val="footnotemark"/>
        </w:rPr>
        <w:footnoteRef/>
      </w:r>
      <w:r>
        <w:t xml:space="preserve"> S </w:t>
      </w:r>
      <w:proofErr w:type="spellStart"/>
      <w:r>
        <w:t>Telaumbanua</w:t>
      </w:r>
      <w:proofErr w:type="spellEnd"/>
      <w:r>
        <w:t xml:space="preserve">, “Pak </w:t>
      </w:r>
      <w:proofErr w:type="spellStart"/>
      <w:r>
        <w:t>Gereja</w:t>
      </w:r>
      <w:proofErr w:type="spellEnd"/>
      <w:r>
        <w:t xml:space="preserve"> Dalam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Hidup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Refleksi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Markus 16:15,”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Shanan</w:t>
      </w:r>
      <w:r>
        <w:t xml:space="preserve"> 4, No. 1 (2020), http://ejournal.uki.ac.id/index.php/shan/article/view/1767. </w:t>
      </w:r>
    </w:p>
  </w:footnote>
  <w:footnote w:id="8">
    <w:p w:rsidR="00CF5208" w:rsidRDefault="00CF5208" w:rsidP="00CF5208">
      <w:pPr>
        <w:pStyle w:val="footnotedescription"/>
        <w:jc w:val="center"/>
      </w:pPr>
      <w:r>
        <w:rPr>
          <w:rStyle w:val="footnotemark"/>
        </w:rPr>
        <w:footnoteRef/>
      </w:r>
      <w:r>
        <w:t xml:space="preserve"> Mimi Doe, </w:t>
      </w:r>
      <w:r>
        <w:rPr>
          <w:i/>
        </w:rPr>
        <w:t>10 Principles for Spiritual Parenting</w:t>
      </w:r>
      <w:r>
        <w:t xml:space="preserve"> (New York: Orbis Book, 2000), 28.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46C07"/>
    <w:multiLevelType w:val="hybridMultilevel"/>
    <w:tmpl w:val="18B676B6"/>
    <w:lvl w:ilvl="0" w:tplc="7F2897BE">
      <w:start w:val="1"/>
      <w:numFmt w:val="upperLetter"/>
      <w:lvlText w:val="%1."/>
      <w:lvlJc w:val="left"/>
      <w:pPr>
        <w:ind w:left="283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103128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A125E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9E44CC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8F5DA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C633C2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CC575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D60F5C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FE8D9E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052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08"/>
    <w:rsid w:val="00027029"/>
    <w:rsid w:val="00047D07"/>
    <w:rsid w:val="007F4639"/>
    <w:rsid w:val="009100D6"/>
    <w:rsid w:val="00CD1140"/>
    <w:rsid w:val="00CF5208"/>
    <w:rsid w:val="00E9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14FD4-F286-42F3-8720-2CE475ED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208"/>
    <w:pPr>
      <w:spacing w:after="351" w:line="543" w:lineRule="auto"/>
      <w:ind w:left="-5" w:hanging="10"/>
      <w:jc w:val="both"/>
    </w:pPr>
    <w:rPr>
      <w:rFonts w:ascii="Palatino Linotype" w:eastAsia="Palatino Linotype" w:hAnsi="Palatino Linotype" w:cs="Palatino Linotype"/>
      <w:color w:val="000000"/>
      <w:kern w:val="0"/>
      <w14:ligatures w14:val="none"/>
    </w:rPr>
  </w:style>
  <w:style w:type="paragraph" w:styleId="Heading1">
    <w:name w:val="heading 1"/>
    <w:next w:val="Normal"/>
    <w:link w:val="Heading1Char"/>
    <w:uiPriority w:val="9"/>
    <w:unhideWhenUsed/>
    <w:qFormat/>
    <w:rsid w:val="00CF5208"/>
    <w:pPr>
      <w:keepNext/>
      <w:keepLines/>
      <w:spacing w:after="230" w:line="246" w:lineRule="auto"/>
      <w:ind w:left="10" w:right="-15" w:hanging="10"/>
      <w:jc w:val="center"/>
      <w:outlineLvl w:val="0"/>
    </w:pPr>
    <w:rPr>
      <w:rFonts w:ascii="Palatino Linotype" w:eastAsia="Palatino Linotype" w:hAnsi="Palatino Linotype" w:cs="Palatino Linotype"/>
      <w:b/>
      <w:color w:val="000000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208"/>
    <w:rPr>
      <w:rFonts w:ascii="Palatino Linotype" w:eastAsia="Palatino Linotype" w:hAnsi="Palatino Linotype" w:cs="Palatino Linotype"/>
      <w:b/>
      <w:color w:val="000000"/>
      <w:kern w:val="0"/>
      <w:sz w:val="24"/>
      <w14:ligatures w14:val="none"/>
    </w:rPr>
  </w:style>
  <w:style w:type="paragraph" w:customStyle="1" w:styleId="footnotedescription">
    <w:name w:val="footnote description"/>
    <w:next w:val="Normal"/>
    <w:link w:val="footnotedescriptionChar"/>
    <w:hidden/>
    <w:rsid w:val="00CF5208"/>
    <w:pPr>
      <w:spacing w:after="0" w:line="240" w:lineRule="auto"/>
    </w:pPr>
    <w:rPr>
      <w:rFonts w:ascii="Palatino Linotype" w:eastAsia="Palatino Linotype" w:hAnsi="Palatino Linotype" w:cs="Palatino Linotype"/>
      <w:color w:val="000000"/>
      <w:kern w:val="0"/>
      <w:sz w:val="18"/>
      <w14:ligatures w14:val="none"/>
    </w:rPr>
  </w:style>
  <w:style w:type="character" w:customStyle="1" w:styleId="footnotedescriptionChar">
    <w:name w:val="footnote description Char"/>
    <w:link w:val="footnotedescription"/>
    <w:rsid w:val="00CF5208"/>
    <w:rPr>
      <w:rFonts w:ascii="Palatino Linotype" w:eastAsia="Palatino Linotype" w:hAnsi="Palatino Linotype" w:cs="Palatino Linotype"/>
      <w:color w:val="000000"/>
      <w:kern w:val="0"/>
      <w:sz w:val="18"/>
      <w14:ligatures w14:val="none"/>
    </w:rPr>
  </w:style>
  <w:style w:type="character" w:customStyle="1" w:styleId="footnotemark">
    <w:name w:val="footnote mark"/>
    <w:hidden/>
    <w:rsid w:val="00CF5208"/>
    <w:rPr>
      <w:rFonts w:ascii="Palatino Linotype" w:eastAsia="Palatino Linotype" w:hAnsi="Palatino Linotype" w:cs="Palatino Linotype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2023-11-07T01:46:00Z</dcterms:created>
  <dcterms:modified xsi:type="dcterms:W3CDTF">2023-11-07T01:46:00Z</dcterms:modified>
</cp:coreProperties>
</file>