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19" w:line="180" w:lineRule="exact"/>
        <w:ind w:left="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50" w:line="180" w:lineRule="exact"/>
        <w:ind w:left="4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5" w:line="18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20" w:right="0"/>
      </w:pPr>
      <w:r>
        <w:rPr>
          <w:lang w:val="id-ID" w:eastAsia="id-ID" w:bidi="id-ID"/>
          <w:w w:val="100"/>
          <w:spacing w:val="0"/>
          <w:color w:val="000000"/>
          <w:position w:val="0"/>
        </w:rPr>
        <w:t>Berdasarkan penjelasan dari bab-bab sebelumnya maka penulis mengambil kesimpulan bahwa:</w:t>
      </w:r>
    </w:p>
    <w:p>
      <w:pPr>
        <w:pStyle w:val="Style10"/>
        <w:widowControl w:val="0"/>
        <w:keepNext w:val="0"/>
        <w:keepLines w:val="0"/>
        <w:shd w:val="clear" w:color="auto" w:fill="auto"/>
        <w:bidi w:val="0"/>
        <w:spacing w:before="0" w:after="0"/>
        <w:ind w:left="320" w:right="0"/>
      </w:pPr>
      <w:r>
        <w:rPr>
          <w:lang w:val="id-ID" w:eastAsia="id-ID" w:bidi="id-ID"/>
          <w:w w:val="100"/>
          <w:spacing w:val="0"/>
          <w:color w:val="000000"/>
          <w:position w:val="0"/>
        </w:rPr>
        <w:t>Hasil analisis menunjukkan bahwa karena thi</w:t>
      </w:r>
      <w:r>
        <w:rPr>
          <w:lang w:val="id-ID" w:eastAsia="id-ID" w:bidi="id-ID"/>
          <w:vertAlign w:val="subscript"/>
          <w:w w:val="100"/>
          <w:spacing w:val="0"/>
          <w:color w:val="000000"/>
          <w:position w:val="0"/>
        </w:rPr>
        <w:t>tU</w:t>
      </w:r>
      <w:r>
        <w:rPr>
          <w:lang w:val="id-ID" w:eastAsia="id-ID" w:bidi="id-ID"/>
          <w:w w:val="100"/>
          <w:spacing w:val="0"/>
          <w:color w:val="000000"/>
          <w:position w:val="0"/>
        </w:rPr>
        <w:t>ng</w:t>
      </w:r>
      <w:r>
        <w:rPr>
          <w:lang w:val="id-ID" w:eastAsia="id-ID" w:bidi="id-ID"/>
          <w:vertAlign w:val="superscript"/>
          <w:w w:val="100"/>
          <w:spacing w:val="0"/>
          <w:color w:val="000000"/>
          <w:position w:val="0"/>
        </w:rPr>
        <w:t>&gt;</w:t>
      </w:r>
      <w:r>
        <w:rPr>
          <w:lang w:val="id-ID" w:eastAsia="id-ID" w:bidi="id-ID"/>
          <w:w w:val="100"/>
          <w:spacing w:val="0"/>
          <w:color w:val="000000"/>
          <w:position w:val="0"/>
        </w:rPr>
        <w:t xml:space="preserve"> Wi (6,6101,697), maka, Ho ditolak, dan Ha diterima, artinya Kinerja Guru PAK berpengaruh tetapi tidak signifikan karena 0,490 terhadap Prestasi Belajar.</w:t>
      </w:r>
    </w:p>
    <w:p>
      <w:pPr>
        <w:pStyle w:val="Style10"/>
        <w:widowControl w:val="0"/>
        <w:keepNext w:val="0"/>
        <w:keepLines w:val="0"/>
        <w:shd w:val="clear" w:color="auto" w:fill="auto"/>
        <w:bidi w:val="0"/>
        <w:spacing w:before="0" w:after="0"/>
        <w:ind w:left="320" w:right="0"/>
      </w:pPr>
      <w:r>
        <w:rPr>
          <w:lang w:val="id-ID" w:eastAsia="id-ID" w:bidi="id-ID"/>
          <w:w w:val="100"/>
          <w:spacing w:val="0"/>
          <w:color w:val="000000"/>
          <w:position w:val="0"/>
        </w:rPr>
        <w:t>Koefisiensi bernilai positif artinya terjadi hubungan positif antara Kineija Guru PAK dengan Prestasi Belajar. Semakin naik atau meningkat Kinerja Guru PAK, maka semakin meningkat atau naik Prestasi Belajar peserta didik.</w:t>
      </w:r>
    </w:p>
    <w:p>
      <w:pPr>
        <w:pStyle w:val="Style10"/>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Hal ini menunjukkan bahwa yang mempengaruhi Prestasi Belajar adalah Kineija Guru PAK. Kemungkinan pula bahwa ada hal lain yang berpengaruh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 yaitu seperti siswa tidak teliti dalam mengisi angket, faktor dari orang tua dan lingkungan. Kemungkinan juga ada faktor lain yang mempengaruhi prestasi belajar yang belum sempat diteliti pada kesempatan ini.</w:t>
      </w:r>
      <w:r>
        <w:br w:type="page"/>
      </w:r>
    </w:p>
    <w:sectPr>
      <w:footerReference w:type="default" r:id="rId5"/>
      <w:footnotePr>
        <w:pos w:val="pageBottom"/>
        <w:numFmt w:val="decimal"/>
        <w:numRestart w:val="continuous"/>
      </w:footnotePr>
      <w:pgSz w:w="12240" w:h="15840"/>
      <w:pgMar w:top="3466" w:left="2287" w:right="3892" w:bottom="34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2.75pt;margin-top:663.15pt;width:8.15pt;height:7.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8">
    <w:name w:val="Body text (3)"/>
    <w:basedOn w:val="Normal"/>
    <w:link w:val="CharStyle9"/>
    <w:pPr>
      <w:widowControl w:val="0"/>
      <w:shd w:val="clear" w:color="auto" w:fill="FFFFFF"/>
      <w:spacing w:before="480"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240" w:line="447" w:lineRule="exact"/>
      <w:ind w:firstLine="3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