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33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3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Alkitab: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" w:line="240" w:lineRule="exact"/>
        <w:ind w:left="1160" w:right="0" w:hanging="4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Jakarta: Lembaga Alkitab Indonesia,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1160" w:right="0" w:hanging="4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Yayasan Lembaga Alkitab Sabda Alkitab Sabda, 1994.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0" w:right="0" w:firstLine="7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Alkitab Elektronik Bahasa Indonesia Kamus 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1" w:line="278" w:lineRule="exact"/>
        <w:ind w:left="1160" w:right="0" w:hanging="4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Ali Marsabah, Amir Hasen, Nazar. </w:t>
      </w:r>
      <w:r>
        <w:rPr>
          <w:rStyle w:val="CharStyle5"/>
        </w:rPr>
        <w:t>Kamus Bahasa Indonesia.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 : Angkasa, 1984.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8" w:line="240" w:lineRule="exact"/>
        <w:ind w:left="1160" w:right="0" w:hanging="420"/>
      </w:pPr>
      <w:r>
        <w:rPr>
          <w:rStyle w:val="CharStyle5"/>
        </w:rPr>
        <w:t>Kamus Latin-Indonesia.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Semarang: Yayasan Kanisius, 1969.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538" w:line="240" w:lineRule="exact"/>
        <w:ind w:left="1160" w:right="0" w:hanging="420"/>
      </w:pP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Kamus Besar Bahasa Indonesia Edisi Ketiga.</w:t>
      </w:r>
      <w:r>
        <w:rPr>
          <w:rStyle w:val="CharStyle8"/>
          <w:i w:val="0"/>
          <w:iCs w:val="0"/>
        </w:rPr>
        <w:t xml:space="preserve"> Jakarta: Balai Pustaka,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1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Buku Referensi: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0" w:line="274" w:lineRule="exact"/>
        <w:ind w:left="11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Al. Purwa Hadiwardoyo MSF, </w:t>
      </w:r>
      <w:r>
        <w:rPr>
          <w:rStyle w:val="CharStyle5"/>
        </w:rPr>
        <w:t>Moral dan Masalahnya.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Yogyakarta: Kanisius, 1990.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" w:line="274" w:lineRule="exact"/>
        <w:ind w:left="11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Borba, Michele. </w:t>
      </w:r>
      <w:r>
        <w:rPr>
          <w:rStyle w:val="CharStyle5"/>
        </w:rPr>
        <w:t>Membangun Kecerdasan Moral.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Gramedia Pustaka Utama,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11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Carnes, Renigius SVD. </w:t>
      </w:r>
      <w:r>
        <w:rPr>
          <w:rStyle w:val="CharStyle5"/>
        </w:rPr>
        <w:t>Teologi Hidup Membiara.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Nusa Indah, 2000.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11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Der Looy, Van. </w:t>
      </w:r>
      <w:r>
        <w:rPr>
          <w:rStyle w:val="CharStyle5"/>
        </w:rPr>
        <w:t>Selibat Para Imam.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Nusa Indah, 1996.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11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Handaya, Ben. </w:t>
      </w:r>
      <w:r>
        <w:rPr>
          <w:rStyle w:val="CharStyle5"/>
        </w:rPr>
        <w:t>Etiket dan Pergaulan.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Yogyakarta: Kanisius, 1975.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7" w:line="274" w:lineRule="exact"/>
        <w:ind w:left="11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Hasan, H. Aedy. </w:t>
      </w:r>
      <w:r>
        <w:rPr>
          <w:rStyle w:val="CharStyle5"/>
        </w:rPr>
        <w:t>Karya Agung Sang Guru Sejati.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Alfabeta,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1" w:line="240" w:lineRule="exact"/>
        <w:ind w:left="11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Kunandar. </w:t>
      </w:r>
      <w:r>
        <w:rPr>
          <w:rStyle w:val="CharStyle5"/>
        </w:rPr>
        <w:t>Guru Profesional.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Grafmdo Persada, 2010.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267" w:line="274" w:lineRule="exact"/>
        <w:ind w:left="1160" w:right="0"/>
      </w:pPr>
      <w:r>
        <w:rPr>
          <w:rStyle w:val="CharStyle8"/>
          <w:i w:val="0"/>
          <w:iCs w:val="0"/>
        </w:rPr>
        <w:t xml:space="preserve">Mardalis.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Metode Penelitian Suatu Pendekatan Proposal.</w:t>
      </w:r>
      <w:r>
        <w:rPr>
          <w:rStyle w:val="CharStyle8"/>
          <w:i w:val="0"/>
          <w:iCs w:val="0"/>
        </w:rPr>
        <w:t xml:space="preserve"> Jakarta: Bumi Aksara. 2010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6" w:line="240" w:lineRule="exact"/>
        <w:ind w:left="11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Mulyasa, E. </w:t>
      </w:r>
      <w:r>
        <w:rPr>
          <w:rStyle w:val="CharStyle5"/>
        </w:rPr>
        <w:t>Menajdi Guru Profeional.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Remaja Rosdakarya.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1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Narbuko, Cholid. H. Abu Achmadi. </w:t>
      </w:r>
      <w:r>
        <w:rPr>
          <w:rStyle w:val="CharStyle5"/>
        </w:rPr>
        <w:t>Metodologi Penelitian.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Bumi Aksara. 2015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11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Patilima, Hamid. </w:t>
      </w:r>
      <w:r>
        <w:rPr>
          <w:rStyle w:val="CharStyle5"/>
        </w:rPr>
        <w:t>Metode Penelitian Kualitatif.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Alfabeta, 201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11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Sidjabat, B.S. </w:t>
      </w:r>
      <w:r>
        <w:rPr>
          <w:rStyle w:val="CharStyle5"/>
        </w:rPr>
        <w:t>Mengajar Secara Profesional.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Kalam Hidup.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11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Soetjipto, Raflis Kosasi. </w:t>
      </w:r>
      <w:r>
        <w:rPr>
          <w:rStyle w:val="CharStyle5"/>
        </w:rPr>
        <w:t>Profesi Keguruan.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Rineka Cipta. 2007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11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5"/>
        </w:rPr>
        <w:t>Memahami Penelitian Kualitatif.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Alfabeta. 2012</w:t>
      </w:r>
    </w:p>
    <w:p>
      <w:pPr>
        <w:pStyle w:val="Style6"/>
        <w:tabs>
          <w:tab w:leader="hyphen" w:pos="15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720" w:right="0" w:firstLine="0"/>
      </w:pPr>
      <w:r>
        <w:rPr>
          <w:rStyle w:val="CharStyle8"/>
          <w:i w:val="0"/>
          <w:iCs w:val="0"/>
        </w:rPr>
        <w:tab/>
        <w:t xml:space="preserve">.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Metode Penelitian Pendidikan.</w:t>
      </w:r>
      <w:r>
        <w:rPr>
          <w:rStyle w:val="CharStyle8"/>
          <w:i w:val="0"/>
          <w:iCs w:val="0"/>
        </w:rPr>
        <w:t xml:space="preserve"> Bandung: Alfabeta. 2009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240" w:line="274" w:lineRule="exact"/>
        <w:ind w:left="1160" w:right="0"/>
      </w:pPr>
      <w:r>
        <w:rPr>
          <w:rStyle w:val="CharStyle8"/>
          <w:i w:val="0"/>
          <w:iCs w:val="0"/>
        </w:rPr>
        <w:t xml:space="preserve">Syaiful H.Sagala,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Kemampuan Profesional Guru dan Tenaga Kependidikan. </w:t>
      </w:r>
      <w:r>
        <w:rPr>
          <w:rStyle w:val="CharStyle8"/>
          <w:i w:val="0"/>
          <w:iCs w:val="0"/>
        </w:rPr>
        <w:t>Bandung: Alfabeta. 2013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236" w:line="274" w:lineRule="exact"/>
        <w:ind w:left="1160" w:right="0"/>
      </w:pPr>
      <w:r>
        <w:rPr>
          <w:rStyle w:val="CharStyle8"/>
          <w:i w:val="0"/>
          <w:iCs w:val="0"/>
        </w:rPr>
        <w:t xml:space="preserve">Tasman, H. Hamai.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Mengembangkan Profesionalisme Guru: Konsep dan Implementasi Menjadi Guru Profesional.</w:t>
      </w:r>
      <w:r>
        <w:rPr>
          <w:rStyle w:val="CharStyle8"/>
          <w:i w:val="0"/>
          <w:iCs w:val="0"/>
        </w:rPr>
        <w:t xml:space="preserve"> Yogyakarta: SUKA-Press. 2014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71" w:line="278" w:lineRule="exact"/>
        <w:ind w:left="11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Verkuyl, J. </w:t>
      </w:r>
      <w:r>
        <w:rPr>
          <w:rStyle w:val="CharStyle5"/>
        </w:rPr>
        <w:t>Etika Kristen I: Bagian Umum.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BPK Gunung Mulia, Cet. 19,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6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Internet: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160" w:right="0" w:hanging="440"/>
      </w:pPr>
      <w:r>
        <w:fldChar w:fldCharType="begin"/>
      </w:r>
      <w:r>
        <w:rPr>
          <w:color w:val="000000"/>
        </w:rPr>
        <w:instrText> HYPERLINK "http://www.tipspendidikan.site/2015/03/9-kode-etik-profesi-guru-indonesia.html*" </w:instrText>
      </w:r>
      <w:r>
        <w:fldChar w:fldCharType="separate"/>
      </w:r>
      <w:r>
        <w:rPr>
          <w:rStyle w:val="Hyperlink"/>
          <w:lang w:val="en-US" w:eastAsia="en-US" w:bidi="en-US"/>
          <w:sz w:val="24"/>
          <w:szCs w:val="24"/>
          <w:w w:val="100"/>
          <w:spacing w:val="0"/>
          <w:position w:val="0"/>
        </w:rPr>
        <w:t>http://www.tipspendidikan.site/2015/03/9-kode-etik-profesi-guru- indonesia.html*</w:t>
      </w:r>
      <w:r>
        <w:fldChar w:fldCharType="end"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Mengkendek.18 Maret 2016.</w:t>
      </w:r>
    </w:p>
    <w:sectPr>
      <w:footnotePr>
        <w:pos w:val="pageBottom"/>
        <w:numFmt w:val="decimal"/>
        <w:numRestart w:val="continuous"/>
      </w:footnotePr>
      <w:pgSz w:w="12240" w:h="15840"/>
      <w:pgMar w:top="2284" w:left="2240" w:right="1988" w:bottom="91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Body text (2) + Italic"/>
    <w:basedOn w:val="CharStyle4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7">
    <w:name w:val="Body text (3)_"/>
    <w:basedOn w:val="DefaultParagraphFont"/>
    <w:link w:val="Style6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8">
    <w:name w:val="Body text (3) + Not Italic"/>
    <w:basedOn w:val="CharStyle7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300" w:line="0" w:lineRule="exact"/>
      <w:ind w:hanging="5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6">
    <w:name w:val="Body text (3)"/>
    <w:basedOn w:val="Normal"/>
    <w:link w:val="CharStyle7"/>
    <w:pPr>
      <w:widowControl w:val="0"/>
      <w:shd w:val="clear" w:color="auto" w:fill="FFFFFF"/>
      <w:spacing w:before="300" w:after="600" w:line="0" w:lineRule="exact"/>
      <w:ind w:hanging="56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AGUSTINA TAMPANG .pdf</dc:title>
  <dc:subject/>
  <dc:creator>Pengolahan2</dc:creator>
  <cp:keywords/>
</cp:coreProperties>
</file>