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63" w:line="210" w:lineRule="exact"/>
        <w:ind w:left="29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93" w:line="190" w:lineRule="exact"/>
        <w:ind w:left="1140" w:right="0"/>
      </w:pPr>
      <w:r>
        <w:rPr>
          <w:rStyle w:val="CharStyle10"/>
          <w:lang w:val="en-US" w:eastAsia="en-US" w:bidi="en-US"/>
          <w:i w:val="0"/>
          <w:iCs w:val="0"/>
        </w:rPr>
        <w:t xml:space="preserve">LAI.,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Alkitab.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02" w:line="190" w:lineRule="exact"/>
        <w:ind w:left="11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Azariah,V.S., </w:t>
      </w:r>
      <w:r>
        <w:rPr>
          <w:rStyle w:val="CharStyle13"/>
        </w:rPr>
        <w:t>Memberi Secara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</w:t>
      </w:r>
      <w:r>
        <w:rPr>
          <w:rStyle w:val="CharStyle13"/>
        </w:rPr>
        <w:t>Gunung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Mulia, 2002.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75" w:line="234" w:lineRule="exact"/>
        <w:ind w:left="1140" w:right="0"/>
      </w:pPr>
      <w:r>
        <w:rPr>
          <w:rStyle w:val="CharStyle10"/>
          <w:i w:val="0"/>
          <w:iCs w:val="0"/>
        </w:rPr>
        <w:t xml:space="preserve">Ariarajah, S. W.,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Kebudayaan Injil Dan: Sebuah Diskusi Berkesinambungan Dalam Gerakan Oikumene.</w:t>
      </w:r>
      <w:r>
        <w:rPr>
          <w:rStyle w:val="CharStyle10"/>
          <w:i w:val="0"/>
          <w:iCs w:val="0"/>
        </w:rPr>
        <w:t xml:space="preserve"> Jakarta: BPK Gunung Mulia, 1997.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90" w:line="190" w:lineRule="exact"/>
        <w:ind w:left="11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Ahmadi, H. Abu., </w:t>
      </w:r>
      <w:r>
        <w:rPr>
          <w:rStyle w:val="CharStyle13"/>
        </w:rPr>
        <w:t>Ilmu Sosial Dasar.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Rineke Cipta, 1991.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0" w:line="238" w:lineRule="exact"/>
        <w:ind w:left="1140" w:right="0"/>
      </w:pPr>
      <w:r>
        <w:rPr>
          <w:rStyle w:val="CharStyle10"/>
          <w:i w:val="0"/>
          <w:iCs w:val="0"/>
        </w:rPr>
        <w:t xml:space="preserve">Abineno, C. H.,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Pelayanan dan pelayan Jemaat dalam Perjanjian Baru.</w:t>
      </w:r>
      <w:r>
        <w:rPr>
          <w:rStyle w:val="CharStyle10"/>
          <w:i w:val="0"/>
          <w:iCs w:val="0"/>
        </w:rPr>
        <w:t xml:space="preserve"> Jakarta: BPK Gunung Mulia, 1991.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78" w:line="238" w:lineRule="exact"/>
        <w:ind w:left="11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Bakker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SJ, J.W.M., </w:t>
      </w:r>
      <w:r>
        <w:rPr>
          <w:rStyle w:val="CharStyle13"/>
        </w:rPr>
        <w:t>Filsafat Kebudayaan-Sebuah Pengantar.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Yayasan Kanisius, 1984.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80" w:line="190" w:lineRule="exact"/>
        <w:ind w:left="11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Basrowi dan Suwandi, </w:t>
      </w:r>
      <w:r>
        <w:rPr>
          <w:rStyle w:val="CharStyle13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Rineke Cipta, 2008.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15" w:line="190" w:lineRule="exact"/>
        <w:ind w:left="11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Bouman,.P.J., </w:t>
      </w:r>
      <w:r>
        <w:rPr>
          <w:rStyle w:val="CharStyle13"/>
        </w:rPr>
        <w:t>Sosiologi: Pengertian dan Masalah.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Kanisius, 1976.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64" w:line="272" w:lineRule="exact"/>
        <w:ind w:left="11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Beyer,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rich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dan Simamora, Evalina., </w:t>
      </w:r>
      <w:r>
        <w:rPr>
          <w:rStyle w:val="CharStyle13"/>
        </w:rPr>
        <w:t>memberi dengan sukacita: tafsir dan teologi persembahan.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2008.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37" w:line="242" w:lineRule="exact"/>
        <w:ind w:left="1140" w:right="0"/>
      </w:pPr>
      <w:r>
        <w:rPr>
          <w:rStyle w:val="CharStyle13"/>
        </w:rPr>
        <w:t>Ensiklopedi Alkitab Masa Kini. Jilid I dan 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Komunikasi Binakasih/OMF, 1993.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85" w:line="246" w:lineRule="exact"/>
        <w:ind w:left="1140" w:right="0"/>
      </w:pPr>
      <w:r>
        <w:rPr>
          <w:rStyle w:val="CharStyle10"/>
          <w:lang w:val="en-US" w:eastAsia="en-US" w:bidi="en-US"/>
          <w:i w:val="0"/>
          <w:iCs w:val="0"/>
        </w:rPr>
        <w:t xml:space="preserve">Franz </w:t>
      </w:r>
      <w:r>
        <w:rPr>
          <w:rStyle w:val="CharStyle10"/>
          <w:i w:val="0"/>
          <w:iCs w:val="0"/>
        </w:rPr>
        <w:t xml:space="preserve">Magnis, Suseno.,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Beriman dalam Masyarakat, Butir-Butir Teologi Kontekstual. </w:t>
      </w:r>
      <w:r>
        <w:rPr>
          <w:rStyle w:val="CharStyle10"/>
          <w:i w:val="0"/>
          <w:iCs w:val="0"/>
        </w:rPr>
        <w:t>Jakarta: Kanisisus, 1993.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02" w:line="190" w:lineRule="exact"/>
        <w:ind w:left="11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Kobong, Th., </w:t>
      </w:r>
      <w:r>
        <w:rPr>
          <w:rStyle w:val="CharStyle13"/>
        </w:rPr>
        <w:t>Iman dan Kebudayaan.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1994.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44" w:line="272" w:lineRule="exact"/>
        <w:ind w:left="11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Koentjaraningrat, Prof. Dr., </w:t>
      </w:r>
      <w:r>
        <w:rPr>
          <w:rStyle w:val="CharStyle13"/>
        </w:rPr>
        <w:t>Manusia dan Kebudayaan di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Penertbit Djambatan, 1987.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02" w:line="268" w:lineRule="exact"/>
        <w:ind w:left="1140" w:right="0"/>
      </w:pPr>
      <w:r>
        <w:rPr>
          <w:rStyle w:val="CharStyle10"/>
          <w:i w:val="0"/>
          <w:iCs w:val="0"/>
        </w:rPr>
        <w:t xml:space="preserve">Kobong, Th.,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Misiologi Kontekstual: Th. Kobong dan Pergulatan Kekristenan Lokal di Indonesia.</w:t>
      </w:r>
      <w:r>
        <w:rPr>
          <w:rStyle w:val="CharStyle10"/>
          <w:i w:val="0"/>
          <w:iCs w:val="0"/>
        </w:rPr>
        <w:t xml:space="preserve"> Jakarta: UPI STT dan Gereja Toraja, 2004.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800" w:left="1785" w:right="3391" w:bottom="280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Koentjaraningrat, </w:t>
      </w:r>
      <w:r>
        <w:rPr>
          <w:rStyle w:val="CharStyle13"/>
        </w:rPr>
        <w:t>Pengantar Ilmu Antropologi.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Aksara Baru, 1981.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99"/>
        <w:ind w:left="1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Panitia perayaanlOO tahun Injil masuk Tana Poso-sinode GKST., </w:t>
      </w:r>
      <w:r>
        <w:rPr>
          <w:rStyle w:val="CharStyle16"/>
        </w:rPr>
        <w:t xml:space="preserve">wajah GKST.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Malang: Dioma Malang, 1992.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32" w:line="200" w:lineRule="exact"/>
        <w:ind w:left="1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Pratiwi, </w:t>
      </w:r>
      <w:r>
        <w:rPr>
          <w:rStyle w:val="CharStyle16"/>
        </w:rPr>
        <w:t>Panduan Penulisan Skripsi.</w:t>
      </w:r>
      <w:r>
        <w:rPr>
          <w:rStyle w:val="CharStyle17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Tugu Publisher, 1996.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86" w:line="200" w:lineRule="exact"/>
        <w:ind w:left="10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Prior,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J.M., </w:t>
      </w:r>
      <w:r>
        <w:rPr>
          <w:rStyle w:val="CharStyle16"/>
        </w:rPr>
        <w:t>Iman dan Transformasi Budaya.</w:t>
      </w:r>
      <w:r>
        <w:rPr>
          <w:rStyle w:val="CharStyle17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Flores: Nusa Indah, 1996.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04" w:line="258" w:lineRule="exact"/>
        <w:ind w:left="1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 J, JB.Banawiratma., </w:t>
      </w:r>
      <w:r>
        <w:rPr>
          <w:rStyle w:val="CharStyle16"/>
        </w:rPr>
        <w:t>Pustaka Teologi: Gereja dan Masyarakat.</w:t>
      </w:r>
      <w:r>
        <w:rPr>
          <w:rStyle w:val="CharStyle17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Kanisius, 1986.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83" w:line="228" w:lineRule="exact"/>
        <w:ind w:left="1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Sairin, Weinata., </w:t>
      </w:r>
      <w:r>
        <w:rPr>
          <w:rStyle w:val="CharStyle16"/>
        </w:rPr>
        <w:t>Iman Kristen Dan Pergumulan Kekinian.</w:t>
      </w:r>
      <w:r>
        <w:rPr>
          <w:rStyle w:val="CharStyle17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Mulia, 1996.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7" w:line="224" w:lineRule="exact"/>
        <w:ind w:left="1080" w:right="0" w:hanging="1080"/>
      </w:pPr>
      <w:r>
        <w:rPr>
          <w:rStyle w:val="CharStyle18"/>
          <w:lang w:val="en-US" w:eastAsia="en-US" w:bidi="en-US"/>
          <w:i w:val="0"/>
          <w:iCs w:val="0"/>
        </w:rPr>
        <w:t xml:space="preserve">Schreiner, </w:t>
      </w:r>
      <w:r>
        <w:rPr>
          <w:rStyle w:val="CharStyle18"/>
          <w:i w:val="0"/>
          <w:iCs w:val="0"/>
        </w:rPr>
        <w:t xml:space="preserve">Lothar.,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Adat dan Injil: Perjumpaan Adat dengan Iman Kristen di Tanah Batak.</w:t>
      </w:r>
      <w:r>
        <w:rPr>
          <w:rStyle w:val="CharStyle10"/>
          <w:i w:val="0"/>
          <w:iCs w:val="0"/>
        </w:rPr>
        <w:t xml:space="preserve"> </w:t>
      </w:r>
      <w:r>
        <w:rPr>
          <w:rStyle w:val="CharStyle18"/>
          <w:i w:val="0"/>
          <w:iCs w:val="0"/>
        </w:rPr>
        <w:t>Jakarta: Gunung Mulia, 1996.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28" w:lineRule="exact"/>
        <w:ind w:left="1080" w:right="0" w:hanging="1080"/>
      </w:pPr>
      <w:r>
        <w:rPr>
          <w:rStyle w:val="CharStyle18"/>
          <w:i w:val="0"/>
          <w:iCs w:val="0"/>
        </w:rPr>
        <w:t xml:space="preserve">Singgih, E.G.,”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Perjumpaan gereja dengan budaya</w:t>
      </w:r>
      <w:r>
        <w:rPr>
          <w:rStyle w:val="CharStyle10"/>
          <w:i w:val="0"/>
          <w:iCs w:val="0"/>
        </w:rPr>
        <w:t xml:space="preserve">”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dalam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Chris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Hartono dkk,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02" w:line="228" w:lineRule="exact"/>
        <w:ind w:left="1080" w:right="1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perjumpaan gereja di Indonesia dengan dunia-dunianya yang sedang berubah.</w:t>
      </w:r>
      <w:r>
        <w:rPr>
          <w:rStyle w:val="CharStyle10"/>
          <w:i w:val="0"/>
          <w:iCs w:val="0"/>
        </w:rPr>
        <w:t xml:space="preserve"> </w:t>
      </w:r>
      <w:r>
        <w:rPr>
          <w:rStyle w:val="CharStyle18"/>
          <w:i w:val="0"/>
          <w:iCs w:val="0"/>
        </w:rPr>
        <w:t>Jakarta :Persetia, 1995.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10" w:line="200" w:lineRule="exact"/>
        <w:ind w:left="1080" w:right="0" w:hanging="1080"/>
      </w:pPr>
      <w:r>
        <w:rPr>
          <w:rStyle w:val="CharStyle18"/>
          <w:i w:val="0"/>
          <w:iCs w:val="0"/>
        </w:rPr>
        <w:t xml:space="preserve">Sugiyono,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 Kualitatif dan R&amp;D.</w:t>
      </w:r>
      <w:r>
        <w:rPr>
          <w:rStyle w:val="CharStyle10"/>
          <w:i w:val="0"/>
          <w:iCs w:val="0"/>
        </w:rPr>
        <w:t xml:space="preserve"> </w:t>
      </w:r>
      <w:r>
        <w:rPr>
          <w:rStyle w:val="CharStyle18"/>
          <w:i w:val="0"/>
          <w:iCs w:val="0"/>
        </w:rPr>
        <w:t>Bandung: Alfabeta,2009.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87" w:line="232" w:lineRule="exact"/>
        <w:ind w:left="1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Sukmadinata, Nana Syaodih., </w:t>
      </w:r>
      <w:r>
        <w:rPr>
          <w:rStyle w:val="CharStyle16"/>
        </w:rPr>
        <w:t>Metode Penelitian Pendidikan.</w:t>
      </w:r>
      <w:r>
        <w:rPr>
          <w:rStyle w:val="CharStyle17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PT. Remaja Rosdakarya,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83" w:line="224" w:lineRule="exact"/>
        <w:ind w:left="1080" w:right="0" w:hanging="1080"/>
      </w:pPr>
      <w:r>
        <w:rPr>
          <w:rStyle w:val="CharStyle18"/>
          <w:lang w:val="en-US" w:eastAsia="en-US" w:bidi="en-US"/>
          <w:i w:val="0"/>
          <w:iCs w:val="0"/>
        </w:rPr>
        <w:t xml:space="preserve">Stott, </w:t>
      </w:r>
      <w:r>
        <w:rPr>
          <w:rStyle w:val="CharStyle18"/>
          <w:i w:val="0"/>
          <w:iCs w:val="0"/>
        </w:rPr>
        <w:t xml:space="preserve">Jhon.,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Khotbah Di Bukit, Injil Memanusiakan Manusia Di Bumi Guna Menyatakan Kasih Surgawi.</w:t>
      </w:r>
      <w:r>
        <w:rPr>
          <w:rStyle w:val="CharStyle10"/>
          <w:i w:val="0"/>
          <w:iCs w:val="0"/>
        </w:rPr>
        <w:t xml:space="preserve"> </w:t>
      </w:r>
      <w:r>
        <w:rPr>
          <w:rStyle w:val="CharStyle18"/>
          <w:i w:val="0"/>
          <w:iCs w:val="0"/>
        </w:rPr>
        <w:t>Jakarta: YKBK/OMF, 1995.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14" w:line="270" w:lineRule="exact"/>
        <w:ind w:left="1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Penulis Fakultas Psikologi UI, </w:t>
      </w:r>
      <w:r>
        <w:rPr>
          <w:rStyle w:val="CharStyle16"/>
        </w:rPr>
        <w:t>Psikologi Sosial.</w:t>
      </w:r>
      <w:r>
        <w:rPr>
          <w:rStyle w:val="CharStyle17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/'Jakarta: Penerbit Salemba Humanika, 2009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70" w:line="228" w:lineRule="exact"/>
        <w:ind w:left="1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Penyusun Kamus Pusat dan Pengembangan Bahasa, </w:t>
      </w:r>
      <w:r>
        <w:rPr>
          <w:rStyle w:val="CharStyle16"/>
        </w:rPr>
        <w:t>Kamus Besar Bahasa Indonesia.</w:t>
      </w:r>
      <w:r>
        <w:rPr>
          <w:rStyle w:val="CharStyle17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Balai Pustaka,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 w:line="241" w:lineRule="exact"/>
        <w:ind w:left="1080" w:right="0" w:hanging="1080"/>
      </w:pPr>
      <w:r>
        <w:rPr>
          <w:rStyle w:val="CharStyle18"/>
          <w:i w:val="0"/>
          <w:iCs w:val="0"/>
        </w:rPr>
        <w:t xml:space="preserve">Tomatala, Y.,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Teologi Kontekstualisasi: suatu pengantar.</w:t>
      </w:r>
      <w:r>
        <w:rPr>
          <w:rStyle w:val="CharStyle10"/>
          <w:i w:val="0"/>
          <w:iCs w:val="0"/>
        </w:rPr>
        <w:t xml:space="preserve"> </w:t>
      </w:r>
      <w:r>
        <w:rPr>
          <w:rStyle w:val="CharStyle18"/>
          <w:i w:val="0"/>
          <w:iCs w:val="0"/>
        </w:rPr>
        <w:t>Malang: Gandum Mas, 1993.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94" w:line="241" w:lineRule="exact"/>
        <w:ind w:left="10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Nifrik, G.L.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Boland.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B.J., </w:t>
      </w:r>
      <w:r>
        <w:rPr>
          <w:rStyle w:val="CharStyle16"/>
        </w:rPr>
        <w:t>Dogmatika Masa Kini.</w:t>
      </w:r>
      <w:r>
        <w:rPr>
          <w:rStyle w:val="CharStyle17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Gunung Mulia, 1993.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24" w:lineRule="exact"/>
        <w:ind w:left="1080" w:right="0" w:hanging="1080"/>
      </w:pPr>
      <w:r>
        <w:rPr>
          <w:rStyle w:val="CharStyle18"/>
          <w:i w:val="0"/>
          <w:iCs w:val="0"/>
        </w:rPr>
        <w:t xml:space="preserve">Yewagoe, A. A.,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“Injil dan kebudayaan: Skema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Niebuhr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dalam perspektif sumba</w:t>
      </w:r>
      <w:r>
        <w:rPr>
          <w:rStyle w:val="CharStyle10"/>
          <w:i w:val="0"/>
          <w:iCs w:val="0"/>
        </w:rPr>
        <w:t xml:space="preserve"> "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dalam Jhon Campbell-Nelson dkk, mengupayakan Misi Gereja yang kontekstual.</w:t>
      </w:r>
      <w:r>
        <w:rPr>
          <w:rStyle w:val="CharStyle10"/>
          <w:i w:val="0"/>
          <w:iCs w:val="0"/>
        </w:rPr>
        <w:t xml:space="preserve"> </w:t>
      </w:r>
      <w:r>
        <w:rPr>
          <w:rStyle w:val="CharStyle18"/>
          <w:i w:val="0"/>
          <w:iCs w:val="0"/>
        </w:rPr>
        <w:t>Jakarta:Persetia, 1995.</w:t>
      </w:r>
    </w:p>
    <w:sectPr>
      <w:pgSz w:w="12240" w:h="15840"/>
      <w:pgMar w:top="2929" w:left="2241" w:right="3060" w:bottom="292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1.4pt;margin-top:83.8pt;width:7.pt;height:6.6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71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1"/>
      <w:szCs w:val="21"/>
      <w:rFonts w:ascii="Cambria" w:eastAsia="Cambria" w:hAnsi="Cambria" w:cs="Cambria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Century Gothic" w:eastAsia="Century Gothic" w:hAnsi="Century Gothic" w:cs="Century Gothic"/>
      <w:spacing w:val="0"/>
    </w:rPr>
  </w:style>
  <w:style w:type="character" w:customStyle="1" w:styleId="CharStyle7">
    <w:name w:val="Header or footer"/>
    <w:basedOn w:val="CharStyle6"/>
    <w:rPr>
      <w:w w:val="10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0">
    <w:name w:val="Body text (2) + Not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3">
    <w:name w:val="Body text (4) + Italic"/>
    <w:basedOn w:val="CharStyle12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5">
    <w:name w:val="Body text (5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6">
    <w:name w:val="Body text (5) + 9.5 pt,Italic"/>
    <w:basedOn w:val="CharStyle15"/>
    <w:rPr>
      <w:lang w:val="id-ID" w:eastAsia="id-ID" w:bidi="id-ID"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17">
    <w:name w:val="Body text (5) + 9.5 pt"/>
    <w:basedOn w:val="CharStyle15"/>
    <w:rPr>
      <w:lang w:val="id-ID" w:eastAsia="id-ID" w:bidi="id-ID"/>
      <w:sz w:val="19"/>
      <w:szCs w:val="19"/>
      <w:w w:val="100"/>
      <w:spacing w:val="0"/>
      <w:color w:val="000000"/>
      <w:position w:val="0"/>
    </w:rPr>
  </w:style>
  <w:style w:type="character" w:customStyle="1" w:styleId="CharStyle18">
    <w:name w:val="Body text (2) + 10 pt,Not Italic"/>
    <w:basedOn w:val="CharStyle9"/>
    <w:rPr>
      <w:lang w:val="id-ID" w:eastAsia="id-ID" w:bidi="id-ID"/>
      <w:i/>
      <w:iCs/>
      <w:sz w:val="20"/>
      <w:szCs w:val="20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60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Cambria" w:eastAsia="Cambria" w:hAnsi="Cambria" w:cs="Cambria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Century Gothic" w:eastAsia="Century Gothic" w:hAnsi="Century Gothic" w:cs="Century Gothic"/>
      <w:spacing w:val="0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600" w:after="300" w:line="0" w:lineRule="exact"/>
      <w:ind w:hanging="1140"/>
    </w:pPr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before="300" w:after="240" w:line="0" w:lineRule="exact"/>
      <w:ind w:hanging="114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4">
    <w:name w:val="Body text (5)"/>
    <w:basedOn w:val="Normal"/>
    <w:link w:val="CharStyle15"/>
    <w:pPr>
      <w:widowControl w:val="0"/>
      <w:shd w:val="clear" w:color="auto" w:fill="FFFFFF"/>
      <w:spacing w:after="180" w:line="224" w:lineRule="exact"/>
      <w:ind w:hanging="108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