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/>
        <w:ind w:left="340" w:right="4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 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J. 2016. </w:t>
      </w:r>
      <w:r>
        <w:rPr>
          <w:rStyle w:val="CharStyle9"/>
          <w:b/>
          <w:bCs/>
        </w:rPr>
        <w:t>KAMUS TORAJA-INDONESIA.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P.T. SULO, bekerjasama dengan Yayasan Perguruan Tinggi Kristen Toraja, atas penugasan dari Badan Pekerja Sinode Gereja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34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</w:p>
    <w:p>
      <w:pPr>
        <w:pStyle w:val="Style10"/>
        <w:numPr>
          <w:ilvl w:val="0"/>
          <w:numId w:val="1"/>
        </w:numPr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34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9"/>
          <w:b/>
          <w:bCs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YogyakartarPustaka Pelajar.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4" w:line="16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line="280" w:lineRule="exact"/>
        <w:ind w:left="34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Bevans. </w:t>
      </w:r>
      <w:r>
        <w:rPr>
          <w:rStyle w:val="CharStyle9"/>
          <w:b/>
          <w:bCs/>
        </w:rPr>
        <w:t>Modei-model Teologi Kontekstual.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Ledalero. 2013.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9"/>
        <w:ind w:left="340" w:right="0"/>
      </w:pPr>
      <w:r>
        <w:rPr>
          <w:rStyle w:val="CharStyle16"/>
          <w:b w:val="0"/>
          <w:bCs w:val="0"/>
          <w:i w:val="0"/>
          <w:iCs w:val="0"/>
        </w:rPr>
        <w:t xml:space="preserve">Esra. </w:t>
      </w:r>
      <w:r>
        <w:rPr>
          <w:lang w:val="id-ID" w:eastAsia="id-ID" w:bidi="id-ID"/>
          <w:color w:val="000000"/>
          <w:position w:val="0"/>
        </w:rPr>
        <w:t xml:space="preserve">BADONG: Analisis Kritis Terhadap Syair Badong Yang lDigunakan Pada Upacara Rambu Solo' Oleh Warga Gereja Toraja Jemaat Imanuel Bamba Suka Klasis Bokin </w:t>
      </w:r>
      <w:r>
        <w:rPr>
          <w:lang w:val="en-US" w:eastAsia="en-US" w:bidi="en-US"/>
          <w:color w:val="000000"/>
          <w:position w:val="0"/>
        </w:rPr>
        <w:t xml:space="preserve">Pitting </w:t>
      </w:r>
      <w:r>
        <w:rPr>
          <w:lang w:val="id-ID" w:eastAsia="id-ID" w:bidi="id-ID"/>
          <w:color w:val="000000"/>
          <w:position w:val="0"/>
        </w:rPr>
        <w:t>Penanian.</w:t>
      </w:r>
      <w:r>
        <w:rPr>
          <w:rStyle w:val="CharStyle16"/>
          <w:b w:val="0"/>
          <w:bCs w:val="0"/>
          <w:i w:val="0"/>
          <w:iCs w:val="0"/>
        </w:rPr>
        <w:t xml:space="preserve"> Tana Toraja: STAKN Toraja.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" w:line="293" w:lineRule="exact"/>
        <w:ind w:left="34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Lexl Moleong. </w:t>
      </w:r>
      <w:r>
        <w:rPr>
          <w:rStyle w:val="CharStyle9"/>
          <w:b/>
          <w:bCs/>
        </w:rPr>
        <w:t>Metode Penelitian Kulaitatif.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 1998.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55"/>
        <w:ind w:left="340" w:right="0"/>
      </w:pPr>
      <w:r>
        <w:rPr>
          <w:rStyle w:val="CharStyle16"/>
          <w:b w:val="0"/>
          <w:bCs w:val="0"/>
          <w:i w:val="0"/>
          <w:iCs w:val="0"/>
        </w:rPr>
        <w:t xml:space="preserve">Kabanga, Andarias. </w:t>
      </w:r>
      <w:r>
        <w:rPr>
          <w:lang w:val="id-ID" w:eastAsia="id-ID" w:bidi="id-ID"/>
          <w:color w:val="000000"/>
          <w:position w:val="0"/>
        </w:rPr>
        <w:t>Manusia Mati Seutuhnya: suatu kajian antropologi Kristen —</w:t>
      </w:r>
      <w:r>
        <w:rPr>
          <w:rStyle w:val="CharStyle16"/>
          <w:b w:val="0"/>
          <w:bCs w:val="0"/>
          <w:i w:val="0"/>
          <w:iCs w:val="0"/>
        </w:rPr>
        <w:t xml:space="preserve"> Yogyakarta: Media Pesindo. 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287" w:lineRule="exact"/>
        <w:ind w:left="26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Th.; dkk. </w:t>
      </w:r>
      <w:r>
        <w:rPr>
          <w:rStyle w:val="CharStyle9"/>
          <w:b/>
          <w:bCs/>
        </w:rPr>
        <w:t>ALUK. adat dan kebudayaan Toraja dalam perjumpaan dengan Injil: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Pusbang — Badan Pekerja Sinode Gereja Toraja.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" w:line="160" w:lineRule="exact"/>
        <w:ind w:left="34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9"/>
          <w:b/>
          <w:bCs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60" w:right="0" w:firstLine="0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737" w:left="2387" w:right="3400" w:bottom="273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25"/>
        <w:ind w:left="500" w:right="0" w:firstLine="740"/>
      </w:pPr>
      <w:r>
        <w:rPr>
          <w:rStyle w:val="CharStyle19"/>
          <w:lang w:val="en-US" w:eastAsia="en-US" w:bidi="en-US"/>
          <w:i w:val="0"/>
          <w:iCs w:val="0"/>
        </w:rPr>
        <w:t xml:space="preserve">Liku-Ada’, John. </w:t>
      </w:r>
      <w:r>
        <w:rPr>
          <w:lang w:val="en-US" w:eastAsia="en-US" w:bidi="en-US"/>
          <w:w w:val="100"/>
          <w:color w:val="000000"/>
          <w:position w:val="0"/>
        </w:rPr>
        <w:t xml:space="preserve">Aluk To Dolo </w:t>
      </w:r>
      <w:r>
        <w:rPr>
          <w:lang w:val="id-ID" w:eastAsia="id-ID" w:bidi="id-ID"/>
          <w:w w:val="100"/>
          <w:color w:val="000000"/>
          <w:position w:val="0"/>
        </w:rPr>
        <w:t xml:space="preserve">Menantikan </w:t>
      </w:r>
      <w:r>
        <w:rPr>
          <w:lang w:val="en-US" w:eastAsia="en-US" w:bidi="en-US"/>
          <w:w w:val="100"/>
          <w:color w:val="000000"/>
          <w:position w:val="0"/>
        </w:rPr>
        <w:t xml:space="preserve">Tomanurun Dan Eran </w:t>
      </w:r>
      <w:r>
        <w:rPr>
          <w:lang w:val="id-ID" w:eastAsia="id-ID" w:bidi="id-ID"/>
          <w:w w:val="100"/>
          <w:color w:val="000000"/>
          <w:position w:val="0"/>
        </w:rPr>
        <w:t xml:space="preserve">Di </w:t>
      </w:r>
      <w:r>
        <w:rPr>
          <w:lang w:val="en-US" w:eastAsia="en-US" w:bidi="en-US"/>
          <w:w w:val="100"/>
          <w:color w:val="000000"/>
          <w:position w:val="0"/>
        </w:rPr>
        <w:t xml:space="preserve">Langi' </w:t>
      </w:r>
      <w:r>
        <w:rPr>
          <w:lang w:val="id-ID" w:eastAsia="id-ID" w:bidi="id-ID"/>
          <w:w w:val="100"/>
          <w:color w:val="000000"/>
          <w:position w:val="0"/>
        </w:rPr>
        <w:t>Sejati</w:t>
      </w:r>
      <w:r>
        <w:rPr>
          <w:rStyle w:val="CharStyle19"/>
          <w:lang w:val="en-US" w:eastAsia="en-US" w:bidi="en-US"/>
          <w:i w:val="0"/>
          <w:iCs w:val="0"/>
        </w:rPr>
        <w:t xml:space="preserve">. </w:t>
      </w:r>
      <w:r>
        <w:rPr>
          <w:rStyle w:val="CharStyle19"/>
          <w:i w:val="0"/>
          <w:iCs w:val="0"/>
        </w:rPr>
        <w:t xml:space="preserve">Yogyakarta: Gunung </w:t>
      </w:r>
      <w:r>
        <w:rPr>
          <w:rStyle w:val="CharStyle19"/>
          <w:lang w:val="en-US" w:eastAsia="en-US" w:bidi="en-US"/>
          <w:i w:val="0"/>
          <w:iCs w:val="0"/>
        </w:rPr>
        <w:t>Sopai. 2014.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60" w:line="210" w:lineRule="exact"/>
        <w:ind w:left="50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Nasir, Mohammad. </w:t>
      </w:r>
      <w:r>
        <w:rPr>
          <w:rStyle w:val="CharStyle22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Gahlia Indonesia.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169" w:line="200" w:lineRule="exact"/>
        <w:ind w:left="880" w:right="0" w:firstLine="0"/>
      </w:pPr>
      <w:r>
        <w:rPr>
          <w:lang w:val="en-US" w:eastAsia="en-US" w:bidi="en-US"/>
          <w:w w:val="100"/>
          <w:color w:val="000000"/>
          <w:position w:val="0"/>
        </w:rPr>
        <w:t>1998.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14" w:line="333" w:lineRule="exact"/>
        <w:ind w:left="50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Natsir, Muhammad Sitonda. </w:t>
      </w:r>
      <w:r>
        <w:rPr>
          <w:rStyle w:val="CharStyle22"/>
        </w:rPr>
        <w:t>Toraja Warisan Dunia.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Pustaka Refleksi. 2005.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225" w:line="341" w:lineRule="exact"/>
        <w:ind w:left="50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Panggarra, Robi, M.Th., </w:t>
      </w:r>
      <w:r>
        <w:rPr>
          <w:rStyle w:val="CharStyle22"/>
        </w:rPr>
        <w:t>Upacara Rambu Solo ’ di Tana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 Bandung: Kalam Hidup. 2015.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76" w:line="210" w:lineRule="exact"/>
        <w:ind w:left="50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2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32" w:line="190" w:lineRule="exact"/>
        <w:ind w:left="88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2011</w:t>
      </w:r>
      <w:r>
        <w:rPr>
          <w:rStyle w:val="CharStyle27"/>
        </w:rPr>
        <w:t>.</w:t>
      </w:r>
      <w:bookmarkEnd w:id="0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232" w:line="350" w:lineRule="exact"/>
        <w:ind w:left="50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Plaisier, Bas. </w:t>
      </w:r>
      <w:r>
        <w:rPr>
          <w:rStyle w:val="CharStyle22"/>
        </w:rPr>
        <w:t>Menjembatani Jurang, Menembus Batas.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2016.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60" w:line="210" w:lineRule="exact"/>
        <w:ind w:left="500" w:right="0" w:firstLine="740"/>
      </w:pPr>
      <w:r>
        <w:rPr>
          <w:rStyle w:val="CharStyle19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Memahami Penelitian Kualitatif</w:t>
      </w:r>
      <w:r>
        <w:rPr>
          <w:rStyle w:val="CharStyle19"/>
          <w:i w:val="0"/>
          <w:iCs w:val="0"/>
        </w:rPr>
        <w:t xml:space="preserve"> Bandung: Alfabeta.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131" w:line="210" w:lineRule="exact"/>
        <w:ind w:left="88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2012</w:t>
      </w:r>
      <w:r>
        <w:rPr>
          <w:rStyle w:val="CharStyle30"/>
          <w:b/>
          <w:bCs/>
        </w:rPr>
        <w:t>.</w:t>
      </w:r>
      <w:bookmarkEnd w:id="1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27" w:line="366" w:lineRule="exact"/>
        <w:ind w:left="50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T. L. Tangdilintin. </w:t>
      </w:r>
      <w:r>
        <w:rPr>
          <w:rStyle w:val="CharStyle22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Bulan. 1991.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246" w:line="358" w:lineRule="exact"/>
        <w:ind w:left="50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Tailu lem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bang, Bert. </w:t>
      </w:r>
      <w:r>
        <w:rPr>
          <w:rStyle w:val="CharStyle22"/>
        </w:rPr>
        <w:t>Reinterpretasi dan Reaktualisasi Budaya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Sopai. 2012.</w:t>
      </w:r>
    </w:p>
    <w:p>
      <w:pPr>
        <w:pStyle w:val="Style23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07" w:line="350" w:lineRule="exact"/>
        <w:ind w:left="400" w:right="0" w:firstLine="720"/>
      </w:pPr>
      <w:r>
        <w:rPr>
          <w:rStyle w:val="CharStyle19"/>
          <w:i w:val="0"/>
          <w:iCs w:val="0"/>
        </w:rPr>
        <w:t xml:space="preserve">Akhlak, Anisa. Dkk. </w:t>
      </w:r>
      <w:r>
        <w:rPr>
          <w:lang w:val="id-ID" w:eastAsia="id-ID" w:bidi="id-ID"/>
          <w:w w:val="100"/>
          <w:color w:val="000000"/>
          <w:position w:val="0"/>
        </w:rPr>
        <w:t xml:space="preserve">Jurnal Ilmu Budaya; Pemali dalam Masyarakat Etnik Banjar Di Kota Samarinda: Suatu Tinjauan Semiotika </w:t>
      </w:r>
      <w:r>
        <w:rPr>
          <w:rStyle w:val="CharStyle19"/>
          <w:i w:val="0"/>
          <w:iCs w:val="0"/>
        </w:rPr>
        <w:t xml:space="preserve">(Vol. 2. </w:t>
      </w:r>
      <w:r>
        <w:rPr>
          <w:rStyle w:val="CharStyle19"/>
          <w:lang w:val="en-US" w:eastAsia="en-US" w:bidi="en-US"/>
          <w:i w:val="0"/>
          <w:iCs w:val="0"/>
        </w:rPr>
        <w:t xml:space="preserve">No. </w:t>
      </w:r>
      <w:r>
        <w:rPr>
          <w:rStyle w:val="CharStyle19"/>
          <w:i w:val="0"/>
          <w:iCs w:val="0"/>
        </w:rPr>
        <w:t>2). 2019.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53" w:line="366" w:lineRule="exact"/>
        <w:ind w:left="760" w:right="0"/>
      </w:pPr>
      <w:r>
        <w:rPr>
          <w:rStyle w:val="CharStyle19"/>
          <w:i w:val="0"/>
          <w:iCs w:val="0"/>
        </w:rPr>
        <w:t xml:space="preserve">Banne. Ismail Ringgi. </w:t>
      </w:r>
      <w:r>
        <w:rPr>
          <w:lang w:val="id-ID" w:eastAsia="id-ID" w:bidi="id-ID"/>
          <w:w w:val="100"/>
          <w:color w:val="000000"/>
          <w:position w:val="0"/>
        </w:rPr>
        <w:t>Jurnal: Pemali sebagai Pendidikan Karakter.</w:t>
      </w:r>
      <w:r>
        <w:rPr>
          <w:rStyle w:val="CharStyle19"/>
          <w:i w:val="0"/>
          <w:iCs w:val="0"/>
        </w:rPr>
        <w:t xml:space="preserve"> 2018.</w:t>
      </w:r>
    </w:p>
    <w:p>
      <w:pPr>
        <w:pStyle w:val="Style23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0" w:line="20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Internet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400" w:right="0"/>
        <w:sectPr>
          <w:headerReference w:type="default" r:id="rId7"/>
          <w:footerReference w:type="default" r:id="rId8"/>
          <w:pgSz w:w="12240" w:h="15840"/>
          <w:pgMar w:top="2335" w:left="2075" w:right="3207" w:bottom="233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kbbi.vveb.id, diakses pada tanggal 25 Okotober 2019.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800"/>
      </w:pPr>
      <w:r>
        <w:rPr>
          <w:rStyle w:val="CharStyle31"/>
        </w:rPr>
        <w:t>hUpv7^attokata.conVarli-k.ata/r&gt;cmali.luml</w:t>
      </w:r>
      <w:r>
        <w:rPr>
          <w:rStyle w:val="CharStyle32"/>
        </w:rPr>
        <w:t xml:space="preserve"> diakses pada tanggal 06 </w:t>
      </w:r>
      <w:r>
        <w:rPr>
          <w:rStyle w:val="CharStyle33"/>
          <w:b w:val="0"/>
          <w:bCs w:val="0"/>
        </w:rPr>
        <w:t xml:space="preserve">April </w:t>
      </w:r>
      <w:r>
        <w:rPr>
          <w:rStyle w:val="CharStyle32"/>
        </w:rPr>
        <w:t xml:space="preserve">2020 </w:t>
      </w:r>
      <w:r>
        <w:rPr>
          <w:rStyle w:val="CharStyle33"/>
          <w:b w:val="0"/>
          <w:bCs w:val="0"/>
        </w:rPr>
        <w:t xml:space="preserve">pukul </w:t>
      </w:r>
      <w:r>
        <w:rPr>
          <w:rStyle w:val="CharStyle32"/>
        </w:rPr>
        <w:t>21.11 WITA.</w:t>
      </w:r>
    </w:p>
    <w:sectPr>
      <w:pgSz w:w="12240" w:h="15840"/>
      <w:pgMar w:top="2352" w:left="2664" w:right="2736" w:bottom="23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1.pt;margin-top:570.35pt;width:8.35pt;height:5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57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7.35pt;margin-top:123.65pt;width:89.35pt;height:6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Header or footer + Franklin Gothic Heavy,7 pt"/>
    <w:basedOn w:val="CharStyle6"/>
    <w:rPr>
      <w:lang w:val="id-ID" w:eastAsia="id-ID" w:bidi="id-ID"/>
      <w:sz w:val="14"/>
      <w:szCs w:val="1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">
    <w:name w:val="Body text (3) + Bold,Italic"/>
    <w:basedOn w:val="CharStyle4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20"/>
    </w:rPr>
  </w:style>
  <w:style w:type="character" w:customStyle="1" w:styleId="CharStyle12">
    <w:name w:val="Body text (4) + Franklin Gothic Heavy,8 pt,Italic,Spacing 0 pt"/>
    <w:basedOn w:val="CharStyle11"/>
    <w:rPr>
      <w:lang w:val="id-ID" w:eastAsia="id-ID" w:bidi="id-ID"/>
      <w:i/>
      <w:iCs/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">
    <w:name w:val="Body text (4) + 6.5 pt,Bold,Italic,Spacing 0 pt"/>
    <w:basedOn w:val="CharStyle11"/>
    <w:rPr>
      <w:lang w:val="id-ID" w:eastAsia="id-ID" w:bidi="id-ID"/>
      <w:b/>
      <w:bCs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100"/>
      <w:spacing w:val="0"/>
    </w:rPr>
  </w:style>
  <w:style w:type="character" w:customStyle="1" w:styleId="CharStyle16">
    <w:name w:val="Body text (5) + Not Bold,Not Italic"/>
    <w:basedOn w:val="CharStyle15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9">
    <w:name w:val="Body text (6) + 10.5 pt,Not Italic"/>
    <w:basedOn w:val="CharStyle18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21">
    <w:name w:val="Body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2">
    <w:name w:val="Body text (2) + 10 pt,Italic"/>
    <w:basedOn w:val="CharStyle21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character" w:customStyle="1" w:styleId="CharStyle26">
    <w:name w:val="Heading #1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  <w:spacing w:val="0"/>
    </w:rPr>
  </w:style>
  <w:style w:type="character" w:customStyle="1" w:styleId="CharStyle27">
    <w:name w:val="Heading #1 + Franklin Gothic Heavy,7 pt"/>
    <w:basedOn w:val="CharStyle26"/>
    <w:rPr>
      <w:lang w:val="id-ID" w:eastAsia="id-ID" w:bidi="id-ID"/>
      <w:sz w:val="14"/>
      <w:szCs w:val="1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9">
    <w:name w:val="Heading #1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character" w:customStyle="1" w:styleId="CharStyle30">
    <w:name w:val="Heading #1 (2) + Arial Narrow,8 pt,Bold,Spacing 0 pt"/>
    <w:basedOn w:val="CharStyle29"/>
    <w:rPr>
      <w:lang w:val="id-ID" w:eastAsia="id-ID" w:bidi="id-ID"/>
      <w:b/>
      <w:bCs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2">
    <w:name w:val="Body text (2)"/>
    <w:basedOn w:val="CharStyle2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3">
    <w:name w:val="Body text (2) + 9.5 pt,Spacing 1 pt"/>
    <w:basedOn w:val="CharStyle21"/>
    <w:rPr>
      <w:lang w:val="id-ID" w:eastAsia="id-ID" w:bidi="id-ID"/>
      <w:b/>
      <w:bCs/>
      <w:sz w:val="19"/>
      <w:szCs w:val="19"/>
      <w:w w:val="100"/>
      <w:spacing w:val="2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" w:line="273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line="41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2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both"/>
      <w:spacing w:before="60" w:after="60" w:line="280" w:lineRule="exact"/>
      <w:ind w:firstLine="660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100"/>
      <w:spacing w:val="0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spacing w:after="120" w:line="341" w:lineRule="exact"/>
      <w:ind w:firstLine="36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20">
    <w:name w:val="Body text (2)"/>
    <w:basedOn w:val="Normal"/>
    <w:link w:val="CharStyle21"/>
    <w:pPr>
      <w:widowControl w:val="0"/>
      <w:shd w:val="clear" w:color="auto" w:fill="FFFFFF"/>
      <w:spacing w:before="120" w:after="120" w:line="0" w:lineRule="exact"/>
      <w:ind w:firstLine="7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paragraph" w:customStyle="1" w:styleId="Style25">
    <w:name w:val="Heading #1"/>
    <w:basedOn w:val="Normal"/>
    <w:link w:val="CharStyle26"/>
    <w:pPr>
      <w:widowControl w:val="0"/>
      <w:shd w:val="clear" w:color="auto" w:fill="FFFFFF"/>
      <w:outlineLvl w:val="0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  <w:spacing w:val="0"/>
    </w:rPr>
  </w:style>
  <w:style w:type="paragraph" w:customStyle="1" w:styleId="Style28">
    <w:name w:val="Heading #1 (2)"/>
    <w:basedOn w:val="Normal"/>
    <w:link w:val="CharStyle29"/>
    <w:pPr>
      <w:widowControl w:val="0"/>
      <w:shd w:val="clear" w:color="auto" w:fill="FFFFFF"/>
      <w:outlineLvl w:val="0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Document8</dc:title>
  <dc:subject/>
  <dc:creator>HP</dc:creator>
  <cp:keywords/>
</cp:coreProperties>
</file>