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01" w:line="19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302" w:val="left"/>
        </w:tabs>
        <w:widowControl w:val="0"/>
        <w:keepNext w:val="0"/>
        <w:keepLines w:val="0"/>
        <w:shd w:val="clear" w:color="auto" w:fill="auto"/>
        <w:bidi w:val="0"/>
        <w:spacing w:before="0" w:after="242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9" w:line="160" w:lineRule="exact"/>
        <w:ind w:left="10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 (LAI), 2013.</w:t>
      </w:r>
    </w:p>
    <w:p>
      <w:pPr>
        <w:pStyle w:val="Style8"/>
        <w:numPr>
          <w:ilvl w:val="0"/>
          <w:numId w:val="1"/>
        </w:numPr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437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Saifuddin, </w:t>
      </w:r>
      <w:r>
        <w:rPr>
          <w:rStyle w:val="CharStyle10"/>
        </w:rPr>
        <w:t>Reabilitas dan Validitas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Yogyakarta: Pustaka Pelajar,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Budyarto, Amiwati dan, </w:t>
      </w:r>
      <w:r>
        <w:rPr>
          <w:rStyle w:val="CharStyle10"/>
        </w:rPr>
        <w:t>Dampak Teknologi Terhadap Kehidupan Rohani Anak dan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Malang: Penerbit Gandum Mas, 2012. Consulting, KMPlus, </w:t>
      </w:r>
      <w:r>
        <w:rPr>
          <w:rStyle w:val="CharStyle10"/>
          <w:lang w:val="en-US" w:eastAsia="en-US" w:bidi="en-US"/>
        </w:rPr>
        <w:t xml:space="preserve">Smart Millennial </w:t>
      </w:r>
      <w:r>
        <w:rPr>
          <w:rStyle w:val="CharStyle10"/>
        </w:rPr>
        <w:t xml:space="preserve">(Generasi Milenial yang Cerdas),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Grainedia Pustaka Utama,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10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 Pusat Pengembangan Kualitas Jasmani, </w:t>
      </w:r>
      <w:r>
        <w:rPr>
          <w:rStyle w:val="CharStyle10"/>
        </w:rPr>
        <w:t>Pendidikan Kecakapan Hidup,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Pusat Pengembangan Kualitas Jasmani,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10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James, </w:t>
      </w:r>
      <w:r>
        <w:rPr>
          <w:rStyle w:val="CharStyle10"/>
        </w:rPr>
        <w:t>Kendalikan selagi Mampu,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10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Fitzhugh, </w:t>
      </w:r>
      <w:r>
        <w:rPr>
          <w:rStyle w:val="CharStyle10"/>
        </w:rPr>
        <w:t>Mendisiplinkan Anak dengan Penuh Kasih Sayang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10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Jhon M., </w:t>
      </w:r>
      <w:r>
        <w:rPr>
          <w:rStyle w:val="CharStyle10"/>
        </w:rPr>
        <w:t>Orang Tua: Penerus Obor Iman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10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Eberly, Sherly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Caroline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Eberly, </w:t>
      </w:r>
      <w:r>
        <w:rPr>
          <w:rStyle w:val="CharStyle10"/>
        </w:rPr>
        <w:t>365 Tata Krama yang Perlu Diketahui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Kompas Gramedia,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4" w:lineRule="exact"/>
        <w:ind w:left="1040" w:right="0" w:hanging="74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273" w:left="3280" w:right="2747" w:bottom="344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Shadily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Hasan, </w:t>
      </w:r>
      <w:r>
        <w:rPr>
          <w:rStyle w:val="CharStyle10"/>
        </w:rPr>
        <w:t>Kamus Inggris Indnesia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Gramedia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Eminyan, Maurice, </w:t>
      </w:r>
      <w:r>
        <w:rPr>
          <w:rStyle w:val="CharStyle10"/>
        </w:rPr>
        <w:t>Teologi Keluarga</w:t>
      </w:r>
      <w:r>
        <w:rPr>
          <w:rStyle w:val="CharStyle10"/>
          <w:lang w:val="en-US" w:eastAsia="en-US" w:bidi="en-US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Penerbit Kanius,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E. G. Homighause &amp; 1. H., </w:t>
      </w:r>
      <w:r>
        <w:rPr>
          <w:rStyle w:val="CharStyle10"/>
        </w:rPr>
        <w:t>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Faisal,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Muhammad, </w:t>
      </w:r>
      <w:r>
        <w:rPr>
          <w:rStyle w:val="CharStyle10"/>
        </w:rPr>
        <w:t>Generasi Phi %: Memahami Milenial Mengubah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Republika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Penerbit,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&amp; Ny. Gunarsa Y. Singgi D., </w:t>
      </w:r>
      <w:r>
        <w:rPr>
          <w:rStyle w:val="CharStyle10"/>
        </w:rPr>
        <w:t>Psikologi Praktis:Anak, Remaja dan Keluarga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740"/>
      </w:pPr>
      <w:r>
        <w:rPr>
          <w:rStyle w:val="CharStyle13"/>
          <w:i w:val="0"/>
          <w:iCs w:val="0"/>
        </w:rPr>
        <w:t xml:space="preserve">Gunawan, Heri , </w:t>
      </w:r>
      <w:r>
        <w:rPr>
          <w:lang w:val="id-ID" w:eastAsia="id-ID" w:bidi="id-ID"/>
          <w:w w:val="100"/>
          <w:color w:val="000000"/>
          <w:position w:val="0"/>
        </w:rPr>
        <w:t>Pendidikan Karakter: Konsep dan Implementasi</w:t>
      </w:r>
      <w:r>
        <w:rPr>
          <w:rStyle w:val="CharStyle13"/>
          <w:i w:val="0"/>
          <w:iCs w:val="0"/>
        </w:rPr>
        <w:t>, Bandung: Alfabeta,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Sutrisno, </w:t>
      </w:r>
      <w:r>
        <w:rPr>
          <w:rStyle w:val="CharStyle10"/>
        </w:rPr>
        <w:t>Metodologi Research 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Yogyakarta: Fakultas Psikologi Universitas Gajah Mada,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Oemar, </w:t>
      </w:r>
      <w:r>
        <w:rPr>
          <w:rStyle w:val="CharStyle10"/>
        </w:rPr>
        <w:t>Psikologi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 ndung, Sinar Baru.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Andar, </w:t>
      </w:r>
      <w:r>
        <w:rPr>
          <w:rStyle w:val="CharStyle10"/>
        </w:rPr>
        <w:t>Selamat Menabur: 33 renungan tentang didik-Mendidik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BPK Gunung Mulia, 2005), h. 116.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 Jakarta: Balai Pustaka, 2007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hanging="740"/>
      </w:pPr>
      <w:r>
        <w:rPr>
          <w:rStyle w:val="CharStyle13"/>
          <w:i w:val="0"/>
          <w:iCs w:val="0"/>
        </w:rPr>
        <w:t xml:space="preserve">Kasmadi, </w:t>
      </w:r>
      <w:r>
        <w:rPr>
          <w:lang w:val="id-ID" w:eastAsia="id-ID" w:bidi="id-ID"/>
          <w:w w:val="100"/>
          <w:color w:val="000000"/>
          <w:position w:val="0"/>
        </w:rPr>
        <w:t>Membangun Sojj Skil Anak-Anak Hebat: Membangun Karakter dan kreativitas Anak</w:t>
      </w:r>
      <w:r>
        <w:rPr>
          <w:rStyle w:val="CharStyle13"/>
          <w:i w:val="0"/>
          <w:iCs w:val="0"/>
        </w:rPr>
        <w:t>, Bandung: Penerbit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Koesoema, Doni A, </w:t>
      </w:r>
      <w:r>
        <w:rPr>
          <w:rStyle w:val="CharStyle10"/>
        </w:rPr>
        <w:t>Pendidikan Karakter: Utuh dan Menyeluruh,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Kanasius,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KWI, Komisi Kateketik, </w:t>
      </w:r>
      <w:r>
        <w:rPr>
          <w:rStyle w:val="CharStyle10"/>
        </w:rPr>
        <w:t>Hidup di Era Digital: Gagasan Dasar dan Modul Katekese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Yokyakarta: Penerbit Kanasius,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122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Howard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B., </w:t>
      </w:r>
      <w:r>
        <w:rPr>
          <w:rStyle w:val="CharStyle10"/>
          <w:lang w:val="en-US" w:eastAsia="en-US" w:bidi="en-US"/>
        </w:rPr>
        <w:t xml:space="preserve">Foundations </w:t>
      </w:r>
      <w:r>
        <w:rPr>
          <w:rStyle w:val="CharStyle10"/>
        </w:rPr>
        <w:t xml:space="preserve">oj </w:t>
      </w:r>
      <w:r>
        <w:rPr>
          <w:rStyle w:val="CharStyle10"/>
          <w:lang w:val="en-US" w:eastAsia="en-US" w:bidi="en-US"/>
        </w:rPr>
        <w:t xml:space="preserve">Behavioral </w:t>
      </w:r>
      <w:r>
        <w:rPr>
          <w:rStyle w:val="CharStyle10"/>
        </w:rPr>
        <w:t>Research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Worth:Harcout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College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11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Lewis, Paul, </w:t>
      </w:r>
      <w:r>
        <w:rPr>
          <w:rStyle w:val="CharStyle10"/>
          <w:lang w:val="en-US" w:eastAsia="en-US" w:bidi="en-US"/>
        </w:rPr>
        <w:t xml:space="preserve">Cara </w:t>
      </w:r>
      <w:r>
        <w:rPr>
          <w:rStyle w:val="CharStyle10"/>
        </w:rPr>
        <w:t xml:space="preserve">Mengarahkan Anak </w:t>
      </w:r>
      <w:r>
        <w:rPr>
          <w:rStyle w:val="CharStyle10"/>
          <w:lang w:val="en-US" w:eastAsia="en-US" w:bidi="en-US"/>
        </w:rPr>
        <w:t>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Life, Tim, </w:t>
      </w:r>
      <w:r>
        <w:rPr>
          <w:rStyle w:val="CharStyle10"/>
          <w:lang w:val="en-US" w:eastAsia="en-US" w:bidi="en-US"/>
        </w:rPr>
        <w:t>Growing Together,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Literatur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Perkantas,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Mansur, </w:t>
      </w:r>
      <w:r>
        <w:rPr>
          <w:rStyle w:val="CharStyle10"/>
        </w:rPr>
        <w:t>Pendidikan Anak Usia Dini dalam Islam,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Pustaka Pelajar,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1160" w:right="0" w:hanging="760"/>
      </w:pPr>
      <w:r>
        <w:rPr>
          <w:rStyle w:val="CharStyle13"/>
          <w:i w:val="0"/>
          <w:iCs w:val="0"/>
        </w:rPr>
        <w:t xml:space="preserve">Mardalis, </w:t>
      </w:r>
      <w:r>
        <w:rPr>
          <w:lang w:val="id-ID" w:eastAsia="id-ID" w:bidi="id-ID"/>
          <w:w w:val="100"/>
          <w:color w:val="000000"/>
          <w:position w:val="0"/>
        </w:rPr>
        <w:t>Metode Penelitian Suatu Pendekatan Proposal,</w:t>
      </w:r>
      <w:r>
        <w:rPr>
          <w:rStyle w:val="CharStyle13"/>
          <w:i w:val="0"/>
          <w:iCs w:val="0"/>
        </w:rPr>
        <w:t xml:space="preserve"> Jakarta: Bumi Aksara,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McElroy, Jhon W., </w:t>
      </w:r>
      <w:r>
        <w:rPr>
          <w:rStyle w:val="CharStyle10"/>
          <w:lang w:val="en-US" w:eastAsia="en-US" w:bidi="en-US"/>
        </w:rPr>
        <w:t>Passing On The Ballon,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Penerbit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Monks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</w:t>
      </w:r>
      <w:r>
        <w:rPr>
          <w:rStyle w:val="CharStyle10"/>
        </w:rPr>
        <w:t>Psikologi Perkembangan:Pengantar dalam Berbagai Bagiannya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Yokyakarta: Gadja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Njurumbatu,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Samuel, </w:t>
      </w:r>
      <w:r>
        <w:rPr>
          <w:rStyle w:val="CharStyle10"/>
        </w:rPr>
        <w:t xml:space="preserve">Pelayanan Holistik: Pelayanan Kristen yang Integral.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Holistik,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XI/JuIi/2005.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Olivia,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Femi, </w:t>
      </w:r>
      <w:r>
        <w:rPr>
          <w:rStyle w:val="CharStyle10"/>
        </w:rPr>
        <w:t>Membantu Anak Punya ingatan Super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.Jakarta: PT Elex Media Komputindo,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Perkantas, Tim, </w:t>
      </w:r>
      <w:r>
        <w:rPr>
          <w:rStyle w:val="CharStyle10"/>
        </w:rPr>
        <w:t>Memulai Hidup Baru 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Literatur Perkantas,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Purweni, Sudiyono dan Rut, </w:t>
      </w:r>
      <w:r>
        <w:rPr>
          <w:rStyle w:val="CharStyle10"/>
        </w:rPr>
        <w:t>Generasi Akhir Zaman yang Dirindukan Tuhan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Yogyakarta: Penerbit Andi,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11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Putra, Yanuar Surya, “Teori Perbedaan Generasi” 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Theoritical Theory,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Vol. 9, Salatiga, STIE AMA Salatiga,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1160" w:right="0" w:hanging="760"/>
      </w:pPr>
      <w:r>
        <w:rPr>
          <w:rStyle w:val="CharStyle13"/>
          <w:lang w:val="en-US" w:eastAsia="en-US" w:bidi="en-US"/>
          <w:i w:val="0"/>
          <w:iCs w:val="0"/>
        </w:rPr>
        <w:t xml:space="preserve">Sanders, Bill, </w:t>
      </w:r>
      <w:r>
        <w:rPr>
          <w:lang w:val="id-ID" w:eastAsia="id-ID" w:bidi="id-ID"/>
          <w:w w:val="100"/>
          <w:color w:val="000000"/>
          <w:position w:val="0"/>
        </w:rPr>
        <w:t>Dari Remaja Untuk Orang Tua: Bimbingan untuk Para Orang Tua yang Ingin Memahami Anak-Anak Mereka,</w:t>
      </w:r>
      <w:r>
        <w:rPr>
          <w:rStyle w:val="CharStyle13"/>
          <w:i w:val="0"/>
          <w:iCs w:val="0"/>
        </w:rPr>
        <w:t xml:space="preserve"> Bandung: Yayasan Kalam hidup,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 Go &amp; Stephen Tong, </w:t>
      </w:r>
      <w:r>
        <w:rPr>
          <w:rStyle w:val="CharStyle10"/>
        </w:rPr>
        <w:t>Seni Membentuk Karakter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LRII,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 Go, </w:t>
      </w:r>
      <w:r>
        <w:rPr>
          <w:rStyle w:val="CharStyle10"/>
        </w:rPr>
        <w:t>Menerobos Dunia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Hidup, 2004.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4" w:lineRule="exact"/>
        <w:ind w:left="860" w:right="420"/>
      </w:pPr>
      <w:r>
        <w:rPr>
          <w:rStyle w:val="CharStyle13"/>
          <w:lang w:val="en-US" w:eastAsia="en-US" w:bidi="en-US"/>
          <w:i w:val="0"/>
          <w:iCs w:val="0"/>
        </w:rPr>
        <w:t xml:space="preserve">Shelly, Judith Allen, </w:t>
      </w:r>
      <w:r>
        <w:rPr>
          <w:lang w:val="id-ID" w:eastAsia="id-ID" w:bidi="id-ID"/>
          <w:w w:val="100"/>
          <w:color w:val="000000"/>
          <w:position w:val="0"/>
        </w:rPr>
        <w:t>Kebutuhan Rohani Anak: Pedoman untuk Para Orang Tua, Guru, dan Perawat,</w:t>
      </w:r>
      <w:r>
        <w:rPr>
          <w:rStyle w:val="CharStyle13"/>
          <w:i w:val="0"/>
          <w:iCs w:val="0"/>
        </w:rPr>
        <w:t xml:space="preserve"> Bandung: Yayasan Kalam Hidup,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24" w:lineRule="exact"/>
        <w:ind w:left="860" w:right="420"/>
      </w:pPr>
      <w:r>
        <w:rPr>
          <w:rStyle w:val="CharStyle13"/>
          <w:i w:val="0"/>
          <w:iCs w:val="0"/>
        </w:rPr>
        <w:t xml:space="preserve">Sidjabat, BS., </w:t>
      </w:r>
      <w:r>
        <w:rPr>
          <w:lang w:val="id-ID" w:eastAsia="id-ID" w:bidi="id-ID"/>
          <w:w w:val="100"/>
          <w:color w:val="000000"/>
          <w:position w:val="0"/>
        </w:rPr>
        <w:t>Membesarkan Anak dengan Kreatif: Panduan menanamkan Iman dan Moral Anak sejak,</w:t>
      </w:r>
      <w:r>
        <w:rPr>
          <w:rStyle w:val="CharStyle13"/>
          <w:i w:val="0"/>
          <w:iCs w:val="0"/>
        </w:rPr>
        <w:t xml:space="preserve"> Yogyakarta: Penerbit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Sudiyono,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Purweni, </w:t>
      </w:r>
      <w:r>
        <w:rPr>
          <w:rStyle w:val="CharStyle10"/>
        </w:rPr>
        <w:t>Generasi Akhir Zaman yang Dirindukan Tuhan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Yogyakarta: Penerbit Andi,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M.A., </w:t>
      </w:r>
      <w:r>
        <w:rPr>
          <w:rStyle w:val="CharStyle10"/>
        </w:rPr>
        <w:t>Metode Statistika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Tarsito,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4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Statistika untuk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.Bandung: Alfabeta,1999.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Susmoko, </w:t>
      </w:r>
      <w:r>
        <w:rPr>
          <w:rStyle w:val="CharStyle10"/>
        </w:rPr>
        <w:t>Metode Penelitian, Penguk39(htran dan Analisi Data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Tangerang: Harvest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International Theological Seminary,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Telaumbanua, Fo’arota, </w:t>
      </w:r>
      <w:r>
        <w:rPr>
          <w:rStyle w:val="CharStyle10"/>
        </w:rPr>
        <w:t>Pengolahan Data Penelitian Perbandingan dan Hubungan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Jakarta: Fakultas Keguruan dan Ilmu Pendidikan Univertas Kristen Indonesia,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Pembinaan dan pengembangan Bahasa.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Edisi 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4" w:lineRule="exact"/>
        <w:ind w:left="860" w:right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Wenda, Yowenus, </w:t>
      </w:r>
      <w:r>
        <w:rPr>
          <w:rStyle w:val="CharStyle10"/>
        </w:rPr>
        <w:t>Pernikahan Dini apakah itu Baik?,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Penerbit Taman Pustaka Kristen,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36" w:lineRule="exact"/>
        <w:ind w:left="860" w:right="420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273" w:left="3280" w:right="2747" w:bottom="3441" w:header="0" w:footer="3" w:gutter="0"/>
          <w:rtlGutter w:val="0"/>
          <w:cols w:space="720"/>
          <w:pgNumType w:start="17" w:fmt="low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Wibovvo, Agus, </w:t>
      </w:r>
      <w:r>
        <w:rPr>
          <w:rStyle w:val="CharStyle10"/>
        </w:rPr>
        <w:t>Pendidikan Karakter di Perguruan Tinggi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Yogyakarta: Pustaka Pelajar,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920" w:right="0" w:hanging="760"/>
      </w:pPr>
      <w:r>
        <w:rPr>
          <w:rStyle w:val="CharStyle13"/>
          <w:lang w:val="en-US" w:eastAsia="en-US" w:bidi="en-US"/>
          <w:i w:val="0"/>
          <w:iCs w:val="0"/>
        </w:rPr>
        <w:t xml:space="preserve">Widiyanto, Mikha Agus, </w:t>
      </w:r>
      <w:r>
        <w:rPr>
          <w:lang w:val="id-ID" w:eastAsia="id-ID" w:bidi="id-ID"/>
          <w:w w:val="100"/>
          <w:color w:val="000000"/>
          <w:position w:val="0"/>
        </w:rPr>
        <w:t>STATISTIKA: Untuk Penelitian Bidang Teologi, PAK &amp; Pelayanan Gereja,,</w:t>
      </w:r>
      <w:r>
        <w:rPr>
          <w:rStyle w:val="CharStyle13"/>
          <w:i w:val="0"/>
          <w:iCs w:val="0"/>
        </w:rPr>
        <w:t xml:space="preserve"> Bandung: Kalam hidup,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92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Wirawan, Henny E., </w:t>
      </w:r>
      <w:r>
        <w:rPr>
          <w:rStyle w:val="CharStyle10"/>
        </w:rPr>
        <w:t>Anakku Bua Hatiku: Panduan Praktis Mengasuh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BPK Gunung Mulia, 2016.</w:t>
      </w:r>
    </w:p>
    <w:sectPr>
      <w:pgSz w:w="12240" w:h="15840"/>
      <w:pgMar w:top="2582" w:left="3394" w:right="2633" w:bottom="258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65pt;margin-top:646.95pt;width:10.55pt;height:4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XVI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4.15pt;margin-top:654.9pt;width:15.6pt;height:6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Cambria" w:eastAsia="Cambria" w:hAnsi="Cambria" w:cs="Cambri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16"/>
      <w:szCs w:val="16"/>
      <w:rFonts w:ascii="Cambria" w:eastAsia="Cambria" w:hAnsi="Cambria" w:cs="Cambria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after="240" w:line="0" w:lineRule="exact"/>
      <w:ind w:hanging="86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mbria" w:eastAsia="Cambria" w:hAnsi="Cambria" w:cs="Cambri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427" w:lineRule="exact"/>
      <w:ind w:hanging="860"/>
    </w:pPr>
    <w:rPr>
      <w:b w:val="0"/>
      <w:bCs w:val="0"/>
      <w:i/>
      <w:iCs/>
      <w:u w:val="none"/>
      <w:strike w:val="0"/>
      <w:smallCaps w:val="0"/>
      <w:sz w:val="16"/>
      <w:szCs w:val="16"/>
      <w:rFonts w:ascii="Cambria" w:eastAsia="Cambria" w:hAnsi="Cambria" w:cs="Cambria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