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64A" w:rsidRDefault="00CF108B">
      <w:pPr>
        <w:pStyle w:val="Bodytext30"/>
        <w:shd w:val="clear" w:color="auto" w:fill="auto"/>
        <w:spacing w:after="286" w:line="260" w:lineRule="exact"/>
      </w:pPr>
      <w:r>
        <w:t>BAB</w:t>
      </w:r>
      <w:r w:rsidR="002A2419">
        <w:rPr>
          <w:lang w:val="en-US"/>
        </w:rPr>
        <w:t xml:space="preserve"> </w:t>
      </w:r>
      <w:r>
        <w:t>I</w:t>
      </w:r>
    </w:p>
    <w:p w:rsidR="0092064A" w:rsidRDefault="00CF108B">
      <w:pPr>
        <w:pStyle w:val="Bodytext30"/>
        <w:shd w:val="clear" w:color="auto" w:fill="auto"/>
        <w:spacing w:after="460" w:line="260" w:lineRule="exact"/>
      </w:pPr>
      <w:r>
        <w:t>PENDAHULUAN</w:t>
      </w:r>
    </w:p>
    <w:p w:rsidR="0092064A" w:rsidRDefault="00CF108B">
      <w:pPr>
        <w:pStyle w:val="Bodytext30"/>
        <w:numPr>
          <w:ilvl w:val="0"/>
          <w:numId w:val="1"/>
        </w:numPr>
        <w:shd w:val="clear" w:color="auto" w:fill="auto"/>
        <w:tabs>
          <w:tab w:val="left" w:pos="405"/>
        </w:tabs>
        <w:spacing w:after="286" w:line="260" w:lineRule="exact"/>
        <w:jc w:val="both"/>
      </w:pPr>
      <w:r>
        <w:t>Latar Belakang Masalah</w:t>
      </w:r>
    </w:p>
    <w:p w:rsidR="0092064A" w:rsidRDefault="00CF108B">
      <w:pPr>
        <w:pStyle w:val="Bodytext20"/>
        <w:shd w:val="clear" w:color="auto" w:fill="auto"/>
        <w:spacing w:before="0" w:after="202" w:line="260" w:lineRule="exact"/>
        <w:ind w:firstLine="700"/>
      </w:pPr>
      <w:r>
        <w:t>Korban dalam bahasa Ibrani adalah f"QT yang berarti pengorbanan, korban.</w:t>
      </w:r>
    </w:p>
    <w:p w:rsidR="0092064A" w:rsidRDefault="00CF108B">
      <w:pPr>
        <w:pStyle w:val="Bodytext20"/>
        <w:shd w:val="clear" w:color="auto" w:fill="auto"/>
        <w:spacing w:before="0" w:after="0" w:line="591" w:lineRule="exact"/>
      </w:pPr>
      <w:r>
        <w:t xml:space="preserve">Korban adalah sesuatu yang dipersembahkan kepada Allah. Artinya korban hanya disediakan untuk Allah dan tidak disediakan untuk sesuatu yang </w:t>
      </w:r>
      <w:r>
        <w:t>lain.</w:t>
      </w:r>
      <w:r>
        <w:rPr>
          <w:vertAlign w:val="superscript"/>
        </w:rPr>
        <w:footnoteReference w:id="1"/>
      </w:r>
      <w:r>
        <w:rPr>
          <w:vertAlign w:val="superscript"/>
        </w:rPr>
        <w:t xml:space="preserve"> </w:t>
      </w:r>
      <w:r>
        <w:rPr>
          <w:vertAlign w:val="superscript"/>
        </w:rPr>
        <w:footnoteReference w:id="2"/>
      </w:r>
      <w:r>
        <w:rPr>
          <w:vertAlign w:val="superscript"/>
        </w:rPr>
        <w:t xml:space="preserve"> </w:t>
      </w:r>
      <w:r>
        <w:rPr>
          <w:vertAlign w:val="superscript"/>
        </w:rPr>
        <w:footnoteReference w:id="3"/>
      </w:r>
      <w:r>
        <w:rPr>
          <w:vertAlign w:val="superscript"/>
        </w:rPr>
        <w:t xml:space="preserve"> </w:t>
      </w:r>
      <w:r>
        <w:t xml:space="preserve">Persembahan yang dilakukan harus diberikan dengan benar kepada Tuhan. Menurut </w:t>
      </w:r>
      <w:r>
        <w:rPr>
          <w:lang w:val="en-US" w:eastAsia="en-US" w:bidi="en-US"/>
        </w:rPr>
        <w:t xml:space="preserve">John </w:t>
      </w:r>
      <w:r>
        <w:t xml:space="preserve">Mac </w:t>
      </w:r>
      <w:r>
        <w:rPr>
          <w:lang w:val="en-US" w:eastAsia="en-US" w:bidi="en-US"/>
        </w:rPr>
        <w:t xml:space="preserve">Arthur, </w:t>
      </w:r>
      <w:r>
        <w:t>persembahan adalah penghormatan dan pemujaan kepada Allah. Dalam Kitab Imamat, korban merupakan perintah dari Allah untuk dilaksanakan oleh bangsa Isr</w:t>
      </w:r>
      <w:r>
        <w:t>ael sebagai bentuk penyembahan kepada Allah. Penyembahan adalah penghormatan yang diekspresikan melalui sikap dan cara hidup yang berkenan kepada Allah. Penyembahan adalah sikap hati dan pikiran manusia yang terpancar dalam tindakan dan perilaku manusia ya</w:t>
      </w:r>
      <w:r>
        <w:t>ng percaya dan nampak dalam berbagai hal seperti penghormatan, pemujaan, dan pengagungan kepada Allah Tritunggal.</w:t>
      </w:r>
      <w:r>
        <w:rPr>
          <w:vertAlign w:val="superscript"/>
        </w:rPr>
        <w:footnoteReference w:id="4"/>
      </w:r>
      <w:r>
        <w:t xml:space="preserve"> Manusia yang sungguh menyembah nampak dalam tindakan untuk setia kepada Allah apapun kondisi yang dialaminya.</w:t>
      </w:r>
    </w:p>
    <w:p w:rsidR="0092064A" w:rsidRDefault="00CF108B">
      <w:pPr>
        <w:pStyle w:val="Bodytext20"/>
        <w:shd w:val="clear" w:color="auto" w:fill="auto"/>
        <w:spacing w:before="0" w:after="0" w:line="591" w:lineRule="exact"/>
        <w:ind w:firstLine="700"/>
      </w:pPr>
      <w:r>
        <w:t>Suku Toraja sangat dikenal deng</w:t>
      </w:r>
      <w:r>
        <w:t xml:space="preserve">an adat dan budayanya, dengan berbagai ritual-ritual yang dilakukan, salah satunya adalah ritual </w:t>
      </w:r>
      <w:r>
        <w:rPr>
          <w:rStyle w:val="Bodytext2Italic"/>
        </w:rPr>
        <w:t>Ma ’nene \</w:t>
      </w:r>
      <w:r>
        <w:t xml:space="preserve"> Sebagian besar masih melakukan ritual </w:t>
      </w:r>
      <w:r>
        <w:rPr>
          <w:rStyle w:val="Bodytext2Italic"/>
        </w:rPr>
        <w:t>Ma’nene’,</w:t>
      </w:r>
      <w:r>
        <w:t xml:space="preserve"> meskipun pada masa kini sudah beragama</w:t>
      </w:r>
    </w:p>
    <w:p w:rsidR="0092064A" w:rsidRDefault="00CF108B">
      <w:pPr>
        <w:pStyle w:val="Bodytext20"/>
        <w:shd w:val="clear" w:color="auto" w:fill="auto"/>
        <w:spacing w:before="0" w:after="0" w:line="585" w:lineRule="exact"/>
      </w:pPr>
      <w:r>
        <w:t>Kristen. Dalam ritual ini keluarga dari kerabat yang meningga</w:t>
      </w:r>
      <w:r>
        <w:t xml:space="preserve">l kembali mengenang </w:t>
      </w:r>
      <w:r>
        <w:lastRenderedPageBreak/>
        <w:t>kerabatnya yang dikubur dengan membawa binatang (babi dan kerbau) untuk di korbankan atau dipersembahkan dalam ritual itu. Ritual ini dilakukan sebagai bentuk penghormatan mereka kepada para leluhur. Upacara ini sudah dilakukan sejak tu</w:t>
      </w:r>
      <w:r>
        <w:t xml:space="preserve">run temurun terutama dalam masyarakat di Lembang </w:t>
      </w:r>
      <w:r>
        <w:rPr>
          <w:lang w:val="en-US" w:eastAsia="en-US" w:bidi="en-US"/>
        </w:rPr>
        <w:t xml:space="preserve">Tonga </w:t>
      </w:r>
      <w:r>
        <w:t xml:space="preserve">Riu. Dalam pemahaman masyarakat di Lembang </w:t>
      </w:r>
      <w:r>
        <w:rPr>
          <w:lang w:val="en-US" w:eastAsia="en-US" w:bidi="en-US"/>
        </w:rPr>
        <w:t xml:space="preserve">Tonga </w:t>
      </w:r>
      <w:r>
        <w:t xml:space="preserve">Riu, bahwa ketika melakukan ritual </w:t>
      </w:r>
      <w:r>
        <w:rPr>
          <w:rStyle w:val="Bodytext2Italic"/>
        </w:rPr>
        <w:t>Ma ’nene’</w:t>
      </w:r>
      <w:r>
        <w:t xml:space="preserve"> kemudian tidak ada binatang berupa kerbau dan babi yang dikorban atau dipersembahkan maka pantang untuk mel</w:t>
      </w:r>
      <w:r>
        <w:t>akukan ritual penyembahan. Masyarakat yang tidak mengindahkannya akan mendapatkan musibah, salah satunya adalah masyarakat akan mengalami gagal panen.</w:t>
      </w:r>
    </w:p>
    <w:p w:rsidR="0092064A" w:rsidRDefault="00CF108B">
      <w:pPr>
        <w:pStyle w:val="Bodytext20"/>
        <w:shd w:val="clear" w:color="auto" w:fill="auto"/>
        <w:spacing w:before="0" w:after="0" w:line="585" w:lineRule="exact"/>
        <w:ind w:firstLine="680"/>
      </w:pPr>
      <w:r>
        <w:t xml:space="preserve">Upacara </w:t>
      </w:r>
      <w:r>
        <w:rPr>
          <w:rStyle w:val="Bodytext2Italic"/>
        </w:rPr>
        <w:t>Ma’nene’</w:t>
      </w:r>
      <w:r>
        <w:t xml:space="preserve"> adalah ritual penyembahan roh yang dilakukan oleh masyarakat dengan memberikan korban pe</w:t>
      </w:r>
      <w:r>
        <w:t xml:space="preserve">rsembahan kepada arwah nenek moyang. L.T. Tangdilintin menuliskan bahwa upacara </w:t>
      </w:r>
      <w:r>
        <w:rPr>
          <w:rStyle w:val="Bodytext2Italic"/>
        </w:rPr>
        <w:t>Ma’nene’</w:t>
      </w:r>
      <w:r>
        <w:t xml:space="preserve"> dilakukan sebagai bentuk pemujaan kepada arwah para leluhur yang telah memberikan kesuburan. Ritual membawa binatang sebagai korban pun adalah sebagai bekal arwah samp</w:t>
      </w:r>
      <w:r>
        <w:t>ai ke alam baka dengan selamat.</w:t>
      </w:r>
      <w:r>
        <w:rPr>
          <w:vertAlign w:val="superscript"/>
        </w:rPr>
        <w:footnoteReference w:id="5"/>
      </w:r>
      <w:r>
        <w:t xml:space="preserve"> Gereja memandang upacara </w:t>
      </w:r>
      <w:r>
        <w:rPr>
          <w:rStyle w:val="Bodytext2Italic"/>
        </w:rPr>
        <w:t>Manene ’</w:t>
      </w:r>
      <w:r>
        <w:t xml:space="preserve"> sebagai upacara menyembah roh orang yang sudah meninggal.</w:t>
      </w:r>
      <w:r>
        <w:rPr>
          <w:vertAlign w:val="superscript"/>
        </w:rPr>
        <w:footnoteReference w:id="6"/>
      </w:r>
    </w:p>
    <w:p w:rsidR="0092064A" w:rsidRDefault="00CF108B">
      <w:pPr>
        <w:pStyle w:val="Bodytext20"/>
        <w:shd w:val="clear" w:color="auto" w:fill="auto"/>
        <w:spacing w:before="0" w:after="0" w:line="585" w:lineRule="exact"/>
        <w:ind w:firstLine="680"/>
      </w:pPr>
      <w:r>
        <w:t>Konteks penyembahan dalam Kitab Imamat 3:1-17 memiliki sejumlah aturan agar korban sebagai bentuk penyembahan yang bisa berkenan k</w:t>
      </w:r>
      <w:r>
        <w:t xml:space="preserve">epada Tuhan. Aturan dalam kitab Imamat 3:1-17 memiliki tujuan agar korban itu bersih, suci dan di terima oleh Tuhan. Melihat aturan dalam Kitab Imamat maka hal ini memiliki persamaan di mana melihat ritual </w:t>
      </w:r>
      <w:r>
        <w:rPr>
          <w:rStyle w:val="Bodytext2Italic"/>
        </w:rPr>
        <w:t>Ma'nene'</w:t>
      </w:r>
      <w:r>
        <w:t xml:space="preserve"> memiliki aturan tersendiri yaitu orang ti</w:t>
      </w:r>
      <w:r>
        <w:t xml:space="preserve">dak bisa </w:t>
      </w:r>
      <w:r>
        <w:lastRenderedPageBreak/>
        <w:t>melakukan ritual tanpa memberikan korban.</w:t>
      </w:r>
    </w:p>
    <w:p w:rsidR="0092064A" w:rsidRDefault="00CF108B">
      <w:pPr>
        <w:pStyle w:val="Bodytext20"/>
        <w:shd w:val="clear" w:color="auto" w:fill="auto"/>
        <w:spacing w:before="0" w:after="180" w:line="585" w:lineRule="exact"/>
        <w:ind w:firstLine="680"/>
      </w:pPr>
      <w:r>
        <w:t xml:space="preserve">Dalam teks Imamat 3:1-17 sangat menarik untuk dikaji mengenai penyembahan yakni memberikan korban persembahan yang ditujukan hanya kepada Allah. Konteks yang ada dalam kitab Imamat 3:1-17 memiliki persamaan konteks dalam acara </w:t>
      </w:r>
      <w:r>
        <w:rPr>
          <w:rStyle w:val="Bodytext2Italic"/>
        </w:rPr>
        <w:t>Ma'nene'</w:t>
      </w:r>
      <w:r>
        <w:t xml:space="preserve"> di Lembang </w:t>
      </w:r>
      <w:r>
        <w:rPr>
          <w:lang w:val="en-US" w:eastAsia="en-US" w:bidi="en-US"/>
        </w:rPr>
        <w:t xml:space="preserve">Tonga </w:t>
      </w:r>
      <w:r>
        <w:t>Riu</w:t>
      </w:r>
      <w:r>
        <w:t xml:space="preserve">, yaitu sama-sama melakukan penyembahan hanya berbeda pada arah tujuan penyembahan itu dilakukan. Penulis akan kaji lebih dalam mengenai penyembahan agar bisa memahami penyembahan dalam Imamat dan penyembahan dalam ritual </w:t>
      </w:r>
      <w:r>
        <w:rPr>
          <w:rStyle w:val="Bodytext2Italic"/>
        </w:rPr>
        <w:t>Ma'nene</w:t>
      </w:r>
      <w:r>
        <w:t xml:space="preserve"> agar pemahaman masyarakat </w:t>
      </w:r>
      <w:r>
        <w:t>lebih lebih jelas mengenai penyembahan hanya kepada Allah.</w:t>
      </w:r>
    </w:p>
    <w:p w:rsidR="0092064A" w:rsidRDefault="00CF108B">
      <w:pPr>
        <w:pStyle w:val="Bodytext30"/>
        <w:numPr>
          <w:ilvl w:val="0"/>
          <w:numId w:val="1"/>
        </w:numPr>
        <w:shd w:val="clear" w:color="auto" w:fill="auto"/>
        <w:tabs>
          <w:tab w:val="left" w:pos="405"/>
        </w:tabs>
        <w:spacing w:after="0" w:line="585" w:lineRule="exact"/>
        <w:jc w:val="both"/>
      </w:pPr>
      <w:r>
        <w:t>Rumusan Masalah</w:t>
      </w:r>
    </w:p>
    <w:p w:rsidR="0092064A" w:rsidRDefault="00CF108B">
      <w:pPr>
        <w:pStyle w:val="Bodytext20"/>
        <w:shd w:val="clear" w:color="auto" w:fill="auto"/>
        <w:spacing w:before="0" w:after="180" w:line="585" w:lineRule="exact"/>
        <w:ind w:firstLine="680"/>
      </w:pPr>
      <w:r>
        <w:t>Berdasarkan latar belakang masalah di atas, maka rumusan masalah yang akan dikaji yaitu: bagaimana kajian hermeneutik berdasarkan imamat 3:1-17 dan implikasinya bagi gereja dalam me</w:t>
      </w:r>
      <w:r>
        <w:t xml:space="preserve">nghadapi ritual penyembahan dalam acara </w:t>
      </w:r>
      <w:r>
        <w:rPr>
          <w:rStyle w:val="Bodytext2Italic"/>
        </w:rPr>
        <w:t>Ma 'nene'</w:t>
      </w:r>
      <w:r>
        <w:t xml:space="preserve"> di Lembang </w:t>
      </w:r>
      <w:r>
        <w:rPr>
          <w:lang w:val="en-US" w:eastAsia="en-US" w:bidi="en-US"/>
        </w:rPr>
        <w:t xml:space="preserve">Tonga </w:t>
      </w:r>
      <w:r>
        <w:t>Riu?</w:t>
      </w:r>
    </w:p>
    <w:p w:rsidR="0092064A" w:rsidRDefault="00CF108B">
      <w:pPr>
        <w:pStyle w:val="Bodytext30"/>
        <w:numPr>
          <w:ilvl w:val="0"/>
          <w:numId w:val="1"/>
        </w:numPr>
        <w:shd w:val="clear" w:color="auto" w:fill="auto"/>
        <w:tabs>
          <w:tab w:val="left" w:pos="405"/>
        </w:tabs>
        <w:spacing w:after="0" w:line="585" w:lineRule="exact"/>
        <w:jc w:val="both"/>
      </w:pPr>
      <w:r>
        <w:t>Tujuan Penulisan</w:t>
      </w:r>
    </w:p>
    <w:p w:rsidR="0092064A" w:rsidRDefault="00CF108B">
      <w:pPr>
        <w:pStyle w:val="Bodytext20"/>
        <w:shd w:val="clear" w:color="auto" w:fill="auto"/>
        <w:spacing w:before="0" w:after="0" w:line="585" w:lineRule="exact"/>
        <w:ind w:firstLine="680"/>
      </w:pPr>
      <w:r>
        <w:t xml:space="preserve">Dari rumusan masalah di atas maka tujuan yang hendak dicapai yaitu untuk mengetahui kajian hermeneutik berdasarkan kajian hermeneutik berdasarkan imamat 3:1-17 dan implikasinya bagi gereja dalam menghadapi ritual penyembahan dalam acara </w:t>
      </w:r>
      <w:r>
        <w:rPr>
          <w:rStyle w:val="Bodytext2Italic"/>
        </w:rPr>
        <w:t>Ma 'nene'</w:t>
      </w:r>
      <w:r>
        <w:t xml:space="preserve"> di Lemban</w:t>
      </w:r>
      <w:r>
        <w:t xml:space="preserve">g </w:t>
      </w:r>
      <w:r>
        <w:rPr>
          <w:lang w:val="en-US" w:eastAsia="en-US" w:bidi="en-US"/>
        </w:rPr>
        <w:t xml:space="preserve">Tonga </w:t>
      </w:r>
      <w:r>
        <w:t>Riu.</w:t>
      </w:r>
    </w:p>
    <w:p w:rsidR="0092064A" w:rsidRDefault="00CF108B">
      <w:pPr>
        <w:pStyle w:val="Bodytext30"/>
        <w:numPr>
          <w:ilvl w:val="0"/>
          <w:numId w:val="1"/>
        </w:numPr>
        <w:shd w:val="clear" w:color="auto" w:fill="auto"/>
        <w:tabs>
          <w:tab w:val="left" w:pos="408"/>
        </w:tabs>
        <w:spacing w:after="0" w:line="591" w:lineRule="exact"/>
        <w:jc w:val="both"/>
      </w:pPr>
      <w:r>
        <w:t>Manfaat Penelitian</w:t>
      </w:r>
    </w:p>
    <w:p w:rsidR="0092064A" w:rsidRDefault="00CF108B">
      <w:pPr>
        <w:pStyle w:val="Bodytext20"/>
        <w:numPr>
          <w:ilvl w:val="0"/>
          <w:numId w:val="2"/>
        </w:numPr>
        <w:shd w:val="clear" w:color="auto" w:fill="auto"/>
        <w:tabs>
          <w:tab w:val="left" w:pos="854"/>
        </w:tabs>
        <w:spacing w:before="0" w:after="0" w:line="591" w:lineRule="exact"/>
        <w:ind w:left="460"/>
      </w:pPr>
      <w:r>
        <w:t>Manfaat Akademik</w:t>
      </w:r>
    </w:p>
    <w:p w:rsidR="0092064A" w:rsidRDefault="00CF108B">
      <w:pPr>
        <w:pStyle w:val="Bodytext20"/>
        <w:shd w:val="clear" w:color="auto" w:fill="auto"/>
        <w:spacing w:before="0" w:after="185" w:line="591" w:lineRule="exact"/>
        <w:ind w:left="860"/>
      </w:pPr>
      <w:r>
        <w:t xml:space="preserve">Penulisan karya ilmiah ini diharapkan akan memberikan sumbangsih </w:t>
      </w:r>
      <w:r>
        <w:lastRenderedPageBreak/>
        <w:t xml:space="preserve">pengetahuan kepada segenap akademika IAKN Toraja mengenai Hermeneutik Imamat 3:1-17 tentang penyembahan yang dilakukan dalam acara </w:t>
      </w:r>
      <w:r>
        <w:rPr>
          <w:rStyle w:val="Bodytext2Italic"/>
        </w:rPr>
        <w:t>Ma'nene</w:t>
      </w:r>
      <w:r>
        <w:t xml:space="preserve"> Ole</w:t>
      </w:r>
      <w:r>
        <w:t>h karena itu, melalui karya ilmiah ini penulis berharap setiap pembaca dapat memahami maksud dari teks ini.</w:t>
      </w:r>
    </w:p>
    <w:p w:rsidR="0092064A" w:rsidRDefault="00CF108B">
      <w:pPr>
        <w:pStyle w:val="Bodytext20"/>
        <w:numPr>
          <w:ilvl w:val="0"/>
          <w:numId w:val="2"/>
        </w:numPr>
        <w:shd w:val="clear" w:color="auto" w:fill="auto"/>
        <w:tabs>
          <w:tab w:val="left" w:pos="854"/>
        </w:tabs>
        <w:spacing w:before="0" w:after="0" w:line="585" w:lineRule="exact"/>
        <w:ind w:left="460"/>
      </w:pPr>
      <w:r>
        <w:t>Manfaat Praktis</w:t>
      </w:r>
    </w:p>
    <w:p w:rsidR="0092064A" w:rsidRDefault="00CF108B">
      <w:pPr>
        <w:pStyle w:val="Bodytext20"/>
        <w:shd w:val="clear" w:color="auto" w:fill="auto"/>
        <w:spacing w:before="0" w:after="180" w:line="585" w:lineRule="exact"/>
        <w:ind w:left="860"/>
      </w:pPr>
      <w:r>
        <w:t xml:space="preserve">Penulisan karya ilmiah ini diharapkan akan memberikan sumbangsih kepada warga di Lembang </w:t>
      </w:r>
      <w:r>
        <w:rPr>
          <w:lang w:val="en-US" w:eastAsia="en-US" w:bidi="en-US"/>
        </w:rPr>
        <w:t xml:space="preserve">Tonga </w:t>
      </w:r>
      <w:r>
        <w:t xml:space="preserve">Riu untuk menjadi bahan evaluasi dan </w:t>
      </w:r>
      <w:r>
        <w:t>membantu untuk menyadarkan bagaimana penyembahan yang benar kepada Allah.</w:t>
      </w:r>
    </w:p>
    <w:p w:rsidR="0092064A" w:rsidRDefault="00CF108B">
      <w:pPr>
        <w:pStyle w:val="Bodytext30"/>
        <w:numPr>
          <w:ilvl w:val="0"/>
          <w:numId w:val="1"/>
        </w:numPr>
        <w:shd w:val="clear" w:color="auto" w:fill="auto"/>
        <w:tabs>
          <w:tab w:val="left" w:pos="408"/>
        </w:tabs>
        <w:spacing w:after="0" w:line="585" w:lineRule="exact"/>
        <w:jc w:val="both"/>
      </w:pPr>
      <w:r>
        <w:t>Sistematika Penulisan</w:t>
      </w:r>
    </w:p>
    <w:p w:rsidR="0092064A" w:rsidRDefault="00CF108B">
      <w:pPr>
        <w:pStyle w:val="Bodytext20"/>
        <w:shd w:val="clear" w:color="auto" w:fill="auto"/>
        <w:spacing w:before="0" w:after="0" w:line="585" w:lineRule="exact"/>
        <w:ind w:firstLine="680"/>
      </w:pPr>
      <w:r>
        <w:t>Dalam mengkaji masalah di atas, maka penulis menggunakan sistematika penulisan sebagaimana diuraikan di bawah ini.</w:t>
      </w:r>
    </w:p>
    <w:p w:rsidR="0092064A" w:rsidRDefault="00CF108B">
      <w:pPr>
        <w:pStyle w:val="Bodytext20"/>
        <w:shd w:val="clear" w:color="auto" w:fill="auto"/>
        <w:spacing w:before="0" w:after="0" w:line="585" w:lineRule="exact"/>
        <w:ind w:firstLine="680"/>
        <w:jc w:val="left"/>
      </w:pPr>
      <w:r>
        <w:t>Bab I merupakan pendahuluan yang terdiri dari</w:t>
      </w:r>
      <w:r>
        <w:t xml:space="preserve"> latar belakang masalah, rumusan masalah, tujuan penulisan, manfaat penulisan, dan sistematika penulisan Bab II berisi kajian teori yang terdiri dari gambaran umum Kitab Imamat, upacara </w:t>
      </w:r>
      <w:r>
        <w:rPr>
          <w:rStyle w:val="Bodytext2Italic"/>
        </w:rPr>
        <w:t>Ma ’nene \</w:t>
      </w:r>
      <w:r>
        <w:t xml:space="preserve"> dan hermeneutik Imamat 3:1-17.</w:t>
      </w:r>
    </w:p>
    <w:p w:rsidR="0092064A" w:rsidRDefault="00CF108B">
      <w:pPr>
        <w:pStyle w:val="Bodytext20"/>
        <w:shd w:val="clear" w:color="auto" w:fill="auto"/>
        <w:spacing w:before="0" w:after="0" w:line="585" w:lineRule="exact"/>
        <w:ind w:firstLine="680"/>
      </w:pPr>
      <w:r>
        <w:t>Bab III merupakan metode pen</w:t>
      </w:r>
      <w:r>
        <w:t xml:space="preserve">elitian yang terdiri dari jenis penelitian, lokasi penelitian dan waktu penelitian, informan penelitian, </w:t>
      </w:r>
      <w:r>
        <w:rPr>
          <w:lang w:val="en-US" w:eastAsia="en-US" w:bidi="en-US"/>
        </w:rPr>
        <w:t xml:space="preserve">instrument </w:t>
      </w:r>
      <w:r>
        <w:t>penelitian, teknik pengumpulan data, dan teknis analisis data.</w:t>
      </w:r>
    </w:p>
    <w:p w:rsidR="0092064A" w:rsidRDefault="00CF108B">
      <w:pPr>
        <w:pStyle w:val="Bodytext20"/>
        <w:shd w:val="clear" w:color="auto" w:fill="auto"/>
        <w:spacing w:before="0" w:after="0" w:line="591" w:lineRule="exact"/>
        <w:ind w:firstLine="680"/>
        <w:jc w:val="left"/>
      </w:pPr>
      <w:r>
        <w:rPr>
          <w:lang w:val="en-US" w:eastAsia="en-US" w:bidi="en-US"/>
        </w:rPr>
        <w:t xml:space="preserve">Bab IV </w:t>
      </w:r>
      <w:r>
        <w:t>merupakan pemaparan hasil penelitian yang terdiri dari pemaparan hasil</w:t>
      </w:r>
      <w:r>
        <w:t xml:space="preserve"> penelitian, analisis hasil penelitian, dan implikasi teologis.</w:t>
      </w:r>
    </w:p>
    <w:p w:rsidR="0092064A" w:rsidRDefault="00CF108B">
      <w:pPr>
        <w:pStyle w:val="Bodytext20"/>
        <w:shd w:val="clear" w:color="auto" w:fill="auto"/>
        <w:spacing w:before="0" w:after="0" w:line="591" w:lineRule="exact"/>
        <w:ind w:firstLine="680"/>
        <w:jc w:val="left"/>
      </w:pPr>
      <w:r>
        <w:t>Bab V merupakan penutup yang terdiri dari kesimpulan dan saran.</w:t>
      </w:r>
    </w:p>
    <w:sectPr w:rsidR="0092064A">
      <w:headerReference w:type="default" r:id="rId7"/>
      <w:footerReference w:type="first" r:id="rId8"/>
      <w:pgSz w:w="11900" w:h="16840"/>
      <w:pgMar w:top="1895" w:right="1631" w:bottom="1116" w:left="1225"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08B" w:rsidRDefault="00CF108B">
      <w:r>
        <w:separator/>
      </w:r>
    </w:p>
  </w:endnote>
  <w:endnote w:type="continuationSeparator" w:id="0">
    <w:p w:rsidR="00CF108B" w:rsidRDefault="00CF1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64A" w:rsidRDefault="00CF108B">
    <w:pPr>
      <w:rPr>
        <w:sz w:val="2"/>
        <w:szCs w:val="2"/>
      </w:rPr>
    </w:pPr>
    <w:r>
      <w:pict>
        <v:shapetype id="_x0000_t202" coordsize="21600,21600" o:spt="202" path="m,l,21600r21600,l21600,xe">
          <v:stroke joinstyle="miter"/>
          <v:path gradientshapeok="t" o:connecttype="rect"/>
        </v:shapetype>
        <v:shape id="_x0000_s1027" type="#_x0000_t202" style="position:absolute;margin-left:283.4pt;margin-top:810.15pt;width:3.65pt;height:9pt;z-index:-188744063;mso-wrap-style:none;mso-wrap-distance-left:5pt;mso-wrap-distance-right:5pt;mso-position-horizontal-relative:page;mso-position-vertical-relative:page" wrapcoords="0 0" filled="f" stroked="f">
          <v:textbox style="mso-fit-shape-to-text:t" inset="0,0,0,0">
            <w:txbxContent>
              <w:p w:rsidR="0092064A" w:rsidRDefault="00CF108B">
                <w:pPr>
                  <w:pStyle w:val="Headerorfooter0"/>
                  <w:shd w:val="clear" w:color="auto" w:fill="auto"/>
                  <w:spacing w:line="240" w:lineRule="auto"/>
                </w:pPr>
                <w:r>
                  <w:fldChar w:fldCharType="begin"/>
                </w:r>
                <w:r>
                  <w:instrText xml:space="preserve"> PAGE \* MERGEFORMAT </w:instrText>
                </w:r>
                <w:r>
                  <w:fldChar w:fldCharType="separate"/>
                </w:r>
                <w:r w:rsidR="002A2419" w:rsidRPr="002A2419">
                  <w:rPr>
                    <w:rStyle w:val="Headerorfooter1"/>
                    <w:noProof/>
                  </w:rPr>
                  <w:t>1</w:t>
                </w:r>
                <w:r>
                  <w:rPr>
                    <w:rStyle w:val="Headerorfooter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08B" w:rsidRDefault="00CF108B">
      <w:r>
        <w:separator/>
      </w:r>
    </w:p>
  </w:footnote>
  <w:footnote w:type="continuationSeparator" w:id="0">
    <w:p w:rsidR="00CF108B" w:rsidRDefault="00CF108B">
      <w:r>
        <w:continuationSeparator/>
      </w:r>
    </w:p>
  </w:footnote>
  <w:footnote w:id="1">
    <w:p w:rsidR="0092064A" w:rsidRDefault="00CF108B">
      <w:pPr>
        <w:pStyle w:val="Footnote0"/>
        <w:shd w:val="clear" w:color="auto" w:fill="auto"/>
        <w:tabs>
          <w:tab w:val="left" w:pos="978"/>
        </w:tabs>
        <w:ind w:left="860"/>
      </w:pPr>
      <w:r>
        <w:rPr>
          <w:vertAlign w:val="superscript"/>
        </w:rPr>
        <w:footnoteRef/>
      </w:r>
      <w:r>
        <w:tab/>
        <w:t xml:space="preserve">W.R.F. </w:t>
      </w:r>
      <w:r>
        <w:rPr>
          <w:lang w:val="en-US" w:eastAsia="en-US" w:bidi="en-US"/>
        </w:rPr>
        <w:t xml:space="preserve">Browning, </w:t>
      </w:r>
      <w:r>
        <w:rPr>
          <w:rStyle w:val="Footnote105pt"/>
        </w:rPr>
        <w:t>Kamus Alkitab</w:t>
      </w:r>
      <w:r>
        <w:t xml:space="preserve"> (Jakarta: BPK Gunung Mulia, 2009), </w:t>
      </w:r>
      <w:r>
        <w:rPr>
          <w:rStyle w:val="FootnoteSpacing1pt"/>
          <w:b/>
          <w:bCs/>
        </w:rPr>
        <w:t>211.</w:t>
      </w:r>
    </w:p>
  </w:footnote>
  <w:footnote w:id="2">
    <w:p w:rsidR="0092064A" w:rsidRDefault="00CF108B">
      <w:pPr>
        <w:pStyle w:val="Footnote0"/>
        <w:shd w:val="clear" w:color="auto" w:fill="auto"/>
        <w:tabs>
          <w:tab w:val="left" w:pos="984"/>
        </w:tabs>
        <w:ind w:firstLine="840"/>
        <w:jc w:val="left"/>
      </w:pPr>
      <w:r>
        <w:rPr>
          <w:vertAlign w:val="superscript"/>
        </w:rPr>
        <w:footnoteRef/>
      </w:r>
      <w:r>
        <w:tab/>
      </w:r>
      <w:r>
        <w:rPr>
          <w:lang w:val="en-US" w:eastAsia="en-US" w:bidi="en-US"/>
        </w:rPr>
        <w:t xml:space="preserve">John </w:t>
      </w:r>
      <w:r>
        <w:t xml:space="preserve">Mac </w:t>
      </w:r>
      <w:r>
        <w:rPr>
          <w:lang w:val="en-US" w:eastAsia="en-US" w:bidi="en-US"/>
        </w:rPr>
        <w:t xml:space="preserve">Arthur, </w:t>
      </w:r>
      <w:r>
        <w:rPr>
          <w:rStyle w:val="Footnote105pt"/>
        </w:rPr>
        <w:t>Prioritas Utama Dalam Penyembahan</w:t>
      </w:r>
      <w:r>
        <w:t xml:space="preserve"> (Bandung: Kalam Hidup, 2001), 26.</w:t>
      </w:r>
    </w:p>
  </w:footnote>
  <w:footnote w:id="3">
    <w:p w:rsidR="0092064A" w:rsidRDefault="00CF108B">
      <w:pPr>
        <w:pStyle w:val="Footnote0"/>
        <w:shd w:val="clear" w:color="auto" w:fill="auto"/>
        <w:tabs>
          <w:tab w:val="left" w:pos="969"/>
        </w:tabs>
        <w:spacing w:line="210" w:lineRule="exact"/>
        <w:ind w:left="840"/>
      </w:pPr>
      <w:r>
        <w:rPr>
          <w:vertAlign w:val="superscript"/>
        </w:rPr>
        <w:footnoteRef/>
      </w:r>
      <w:r>
        <w:tab/>
      </w:r>
      <w:r>
        <w:rPr>
          <w:lang w:val="en-US" w:eastAsia="en-US" w:bidi="en-US"/>
        </w:rPr>
        <w:t xml:space="preserve">Emanuel </w:t>
      </w:r>
      <w:r>
        <w:t xml:space="preserve">Gerrit Singgih, </w:t>
      </w:r>
      <w:r>
        <w:rPr>
          <w:rStyle w:val="Footnote105pt"/>
        </w:rPr>
        <w:t>Korban dan Pendamaian</w:t>
      </w:r>
      <w:r>
        <w:t xml:space="preserve"> (Jakarta: BPK Gunung Mulia, 2018),</w:t>
      </w:r>
    </w:p>
    <w:p w:rsidR="0092064A" w:rsidRDefault="0092064A">
      <w:pPr>
        <w:pStyle w:val="Footnote20"/>
        <w:shd w:val="clear" w:color="auto" w:fill="auto"/>
        <w:spacing w:line="300" w:lineRule="exact"/>
      </w:pPr>
      <w:bookmarkStart w:id="0" w:name="_GoBack"/>
      <w:bookmarkEnd w:id="0"/>
    </w:p>
  </w:footnote>
  <w:footnote w:id="4">
    <w:p w:rsidR="0092064A" w:rsidRDefault="00CF108B">
      <w:pPr>
        <w:pStyle w:val="Footnote0"/>
        <w:shd w:val="clear" w:color="auto" w:fill="auto"/>
        <w:tabs>
          <w:tab w:val="left" w:pos="975"/>
        </w:tabs>
        <w:spacing w:line="210" w:lineRule="exact"/>
        <w:ind w:left="840"/>
      </w:pPr>
      <w:r>
        <w:rPr>
          <w:vertAlign w:val="superscript"/>
        </w:rPr>
        <w:footnoteRef/>
      </w:r>
      <w:r>
        <w:tab/>
        <w:t xml:space="preserve">Selvester M. Tacoy, </w:t>
      </w:r>
      <w:r>
        <w:rPr>
          <w:rStyle w:val="Footnote105pt"/>
        </w:rPr>
        <w:t>Kamus Pintar Alkitab</w:t>
      </w:r>
      <w:r>
        <w:t xml:space="preserve"> (Jakarta: IKAPI, 2012), 268.</w:t>
      </w:r>
    </w:p>
  </w:footnote>
  <w:footnote w:id="5">
    <w:p w:rsidR="0092064A" w:rsidRDefault="00CF108B">
      <w:pPr>
        <w:pStyle w:val="Footnote0"/>
        <w:shd w:val="clear" w:color="auto" w:fill="auto"/>
        <w:tabs>
          <w:tab w:val="left" w:pos="917"/>
        </w:tabs>
        <w:spacing w:line="236" w:lineRule="exact"/>
        <w:ind w:firstLine="820"/>
        <w:jc w:val="left"/>
      </w:pPr>
      <w:r>
        <w:rPr>
          <w:vertAlign w:val="superscript"/>
        </w:rPr>
        <w:footnoteRef/>
      </w:r>
      <w:r>
        <w:tab/>
        <w:t xml:space="preserve">L.T. Tangdilintin, </w:t>
      </w:r>
      <w:r>
        <w:rPr>
          <w:rStyle w:val="Footnote105pt"/>
        </w:rPr>
        <w:t>Toraja dan Kebudayaannya</w:t>
      </w:r>
      <w:r>
        <w:t xml:space="preserve"> (Tana Toraja: Yayasan Lepongan Bulan, 1981), 153.</w:t>
      </w:r>
    </w:p>
  </w:footnote>
  <w:footnote w:id="6">
    <w:p w:rsidR="0092064A" w:rsidRDefault="00CF108B">
      <w:pPr>
        <w:pStyle w:val="Footnote30"/>
        <w:shd w:val="clear" w:color="auto" w:fill="auto"/>
        <w:tabs>
          <w:tab w:val="left" w:pos="973"/>
        </w:tabs>
      </w:pPr>
      <w:r>
        <w:rPr>
          <w:rStyle w:val="Footnote310pt"/>
          <w:vertAlign w:val="superscript"/>
        </w:rPr>
        <w:footnoteRef/>
      </w:r>
      <w:r>
        <w:rPr>
          <w:rStyle w:val="Footnote310pt"/>
        </w:rPr>
        <w:tab/>
        <w:t xml:space="preserve">Seno Paseru, </w:t>
      </w:r>
      <w:r>
        <w:t xml:space="preserve">Aluk </w:t>
      </w:r>
      <w:r>
        <w:rPr>
          <w:lang w:val="en-US" w:eastAsia="en-US" w:bidi="en-US"/>
        </w:rPr>
        <w:t xml:space="preserve">To </w:t>
      </w:r>
      <w:r>
        <w:t xml:space="preserve">Dolo Toraja: Upacara Pemakaman Masa Kini Masih Sakral </w:t>
      </w:r>
      <w:r>
        <w:rPr>
          <w:rStyle w:val="Footnote310pt"/>
        </w:rPr>
        <w:t xml:space="preserve">(Salatiga: </w:t>
      </w:r>
      <w:r>
        <w:rPr>
          <w:rStyle w:val="Footnote310pt"/>
        </w:rPr>
        <w:t>Widya Sari Press, 2004), 109.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64A" w:rsidRDefault="00CF108B">
    <w:pPr>
      <w:rPr>
        <w:sz w:val="2"/>
        <w:szCs w:val="2"/>
      </w:rPr>
    </w:pPr>
    <w:r>
      <w:pict>
        <v:shapetype id="_x0000_t202" coordsize="21600,21600" o:spt="202" path="m,l,21600r21600,l21600,xe">
          <v:stroke joinstyle="miter"/>
          <v:path gradientshapeok="t" o:connecttype="rect"/>
        </v:shapetype>
        <v:shape id="_x0000_s1026" type="#_x0000_t202" style="position:absolute;margin-left:505.6pt;margin-top:14.25pt;width:6.2pt;height:9.3pt;z-index:-188744064;mso-wrap-style:none;mso-wrap-distance-left:5pt;mso-wrap-distance-right:5pt;mso-position-horizontal-relative:page;mso-position-vertical-relative:page" wrapcoords="0 0" filled="f" stroked="f">
          <v:textbox style="mso-fit-shape-to-text:t" inset="0,0,0,0">
            <w:txbxContent>
              <w:p w:rsidR="0092064A" w:rsidRDefault="00CF108B">
                <w:pPr>
                  <w:pStyle w:val="Headerorfooter0"/>
                  <w:shd w:val="clear" w:color="auto" w:fill="auto"/>
                  <w:spacing w:line="240" w:lineRule="auto"/>
                </w:pPr>
                <w:r>
                  <w:fldChar w:fldCharType="begin"/>
                </w:r>
                <w:r>
                  <w:instrText xml:space="preserve"> PAGE \* MERGEFORMAT </w:instrText>
                </w:r>
                <w:r>
                  <w:fldChar w:fldCharType="separate"/>
                </w:r>
                <w:r w:rsidR="002A2419" w:rsidRPr="002A2419">
                  <w:rPr>
                    <w:rStyle w:val="Headerorfooter1"/>
                    <w:noProof/>
                    <w:lang w:val="en-US" w:eastAsia="en-US" w:bidi="en-US"/>
                  </w:rPr>
                  <w:t>3</w:t>
                </w:r>
                <w:r>
                  <w:rPr>
                    <w:rStyle w:val="Headerorfooter1"/>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55329E"/>
    <w:multiLevelType w:val="multilevel"/>
    <w:tmpl w:val="29AC283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FD35DC0"/>
    <w:multiLevelType w:val="multilevel"/>
    <w:tmpl w:val="C1E40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81"/>
  <w:drawingGridVerticalSpacing w:val="181"/>
  <w:characterSpacingControl w:val="compressPunctuation"/>
  <w:hdrShapeDefaults>
    <o:shapedefaults v:ext="edit" spidmax="1028"/>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2064A"/>
    <w:rsid w:val="002A2419"/>
    <w:rsid w:val="0092064A"/>
    <w:rsid w:val="00CF1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6AADAAC-02FB-4A08-B1CC-B95256C8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0"/>
      <w:szCs w:val="20"/>
      <w:u w:val="none"/>
    </w:rPr>
  </w:style>
  <w:style w:type="character" w:customStyle="1" w:styleId="Footnote105pt">
    <w:name w:val="Footnote + 10.5 pt"/>
    <w:aliases w:val="Not Bold,Italic"/>
    <w:basedOn w:val="Footnote"/>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FootnoteSpacing1pt">
    <w:name w:val="Footnote + Spacing 1 pt"/>
    <w:basedOn w:val="Footnote"/>
    <w:rPr>
      <w:rFonts w:ascii="Times New Roman" w:eastAsia="Times New Roman" w:hAnsi="Times New Roman" w:cs="Times New Roman"/>
      <w:b/>
      <w:bCs/>
      <w:i w:val="0"/>
      <w:iCs w:val="0"/>
      <w:smallCaps w:val="0"/>
      <w:strike w:val="0"/>
      <w:color w:val="000000"/>
      <w:spacing w:val="30"/>
      <w:w w:val="100"/>
      <w:position w:val="0"/>
      <w:sz w:val="20"/>
      <w:szCs w:val="20"/>
      <w:u w:val="none"/>
      <w:lang w:val="id-ID" w:eastAsia="id-ID" w:bidi="id-ID"/>
    </w:rPr>
  </w:style>
  <w:style w:type="character" w:customStyle="1" w:styleId="Footnote2">
    <w:name w:val="Footnote (2)_"/>
    <w:basedOn w:val="DefaultParagraphFont"/>
    <w:link w:val="Footnote20"/>
    <w:rPr>
      <w:rFonts w:ascii="Bookman Old Style" w:eastAsia="Bookman Old Style" w:hAnsi="Bookman Old Style" w:cs="Bookman Old Style"/>
      <w:b/>
      <w:bCs/>
      <w:i w:val="0"/>
      <w:iCs w:val="0"/>
      <w:smallCaps w:val="0"/>
      <w:strike w:val="0"/>
      <w:sz w:val="30"/>
      <w:szCs w:val="30"/>
      <w:u w:val="none"/>
    </w:rPr>
  </w:style>
  <w:style w:type="character" w:customStyle="1" w:styleId="Footnote2SmallCaps">
    <w:name w:val="Footnote (2) + Small Caps"/>
    <w:basedOn w:val="Footnote2"/>
    <w:rPr>
      <w:rFonts w:ascii="Bookman Old Style" w:eastAsia="Bookman Old Style" w:hAnsi="Bookman Old Style" w:cs="Bookman Old Style"/>
      <w:b/>
      <w:bCs/>
      <w:i w:val="0"/>
      <w:iCs w:val="0"/>
      <w:smallCaps/>
      <w:strike w:val="0"/>
      <w:color w:val="000000"/>
      <w:spacing w:val="0"/>
      <w:w w:val="100"/>
      <w:position w:val="0"/>
      <w:sz w:val="30"/>
      <w:szCs w:val="30"/>
      <w:u w:val="none"/>
      <w:lang w:val="id-ID" w:eastAsia="id-ID" w:bidi="id-ID"/>
    </w:rPr>
  </w:style>
  <w:style w:type="character" w:customStyle="1" w:styleId="Footnote3">
    <w:name w:val="Footnote (3)_"/>
    <w:basedOn w:val="DefaultParagraphFont"/>
    <w:link w:val="Footnote30"/>
    <w:rPr>
      <w:rFonts w:ascii="Times New Roman" w:eastAsia="Times New Roman" w:hAnsi="Times New Roman" w:cs="Times New Roman"/>
      <w:b w:val="0"/>
      <w:bCs w:val="0"/>
      <w:i/>
      <w:iCs/>
      <w:smallCaps w:val="0"/>
      <w:strike w:val="0"/>
      <w:sz w:val="21"/>
      <w:szCs w:val="21"/>
      <w:u w:val="none"/>
    </w:rPr>
  </w:style>
  <w:style w:type="character" w:customStyle="1" w:styleId="Footnote310pt">
    <w:name w:val="Footnote (3) + 10 pt"/>
    <w:aliases w:val="Bold,Not Italic"/>
    <w:basedOn w:val="Footnote3"/>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paragraph" w:customStyle="1" w:styleId="Footnote0">
    <w:name w:val="Footnote"/>
    <w:basedOn w:val="Normal"/>
    <w:link w:val="Footnote"/>
    <w:pPr>
      <w:shd w:val="clear" w:color="auto" w:fill="FFFFFF"/>
      <w:spacing w:line="242" w:lineRule="exact"/>
      <w:jc w:val="both"/>
    </w:pPr>
    <w:rPr>
      <w:rFonts w:ascii="Times New Roman" w:eastAsia="Times New Roman" w:hAnsi="Times New Roman" w:cs="Times New Roman"/>
      <w:b/>
      <w:bCs/>
      <w:sz w:val="20"/>
      <w:szCs w:val="20"/>
    </w:rPr>
  </w:style>
  <w:style w:type="paragraph" w:customStyle="1" w:styleId="Footnote20">
    <w:name w:val="Footnote (2)"/>
    <w:basedOn w:val="Normal"/>
    <w:link w:val="Footnote2"/>
    <w:pPr>
      <w:shd w:val="clear" w:color="auto" w:fill="FFFFFF"/>
      <w:spacing w:line="0" w:lineRule="atLeast"/>
    </w:pPr>
    <w:rPr>
      <w:rFonts w:ascii="Bookman Old Style" w:eastAsia="Bookman Old Style" w:hAnsi="Bookman Old Style" w:cs="Bookman Old Style"/>
      <w:b/>
      <w:bCs/>
      <w:sz w:val="30"/>
      <w:szCs w:val="30"/>
    </w:rPr>
  </w:style>
  <w:style w:type="paragraph" w:customStyle="1" w:styleId="Footnote30">
    <w:name w:val="Footnote (3)"/>
    <w:basedOn w:val="Normal"/>
    <w:link w:val="Footnote3"/>
    <w:pPr>
      <w:shd w:val="clear" w:color="auto" w:fill="FFFFFF"/>
      <w:spacing w:line="225" w:lineRule="exact"/>
      <w:ind w:firstLine="820"/>
    </w:pPr>
    <w:rPr>
      <w:rFonts w:ascii="Times New Roman" w:eastAsia="Times New Roman" w:hAnsi="Times New Roman" w:cs="Times New Roman"/>
      <w:i/>
      <w:iCs/>
      <w:sz w:val="21"/>
      <w:szCs w:val="21"/>
    </w:rPr>
  </w:style>
  <w:style w:type="paragraph" w:customStyle="1" w:styleId="Bodytext30">
    <w:name w:val="Body text (3)"/>
    <w:basedOn w:val="Normal"/>
    <w:link w:val="Bodytext3"/>
    <w:pPr>
      <w:shd w:val="clear" w:color="auto" w:fill="FFFFFF"/>
      <w:spacing w:after="360" w:line="0" w:lineRule="atLeast"/>
      <w:jc w:val="center"/>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6"/>
      <w:szCs w:val="26"/>
    </w:rPr>
  </w:style>
  <w:style w:type="paragraph" w:customStyle="1" w:styleId="Bodytext20">
    <w:name w:val="Body text (2)"/>
    <w:basedOn w:val="Normal"/>
    <w:link w:val="Bodytext2"/>
    <w:pPr>
      <w:shd w:val="clear" w:color="auto" w:fill="FFFFFF"/>
      <w:spacing w:before="360" w:after="540" w:line="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803</Words>
  <Characters>4583</Characters>
  <Application>Microsoft Office Word</Application>
  <DocSecurity>0</DocSecurity>
  <Lines>38</Lines>
  <Paragraphs>10</Paragraphs>
  <ScaleCrop>false</ScaleCrop>
  <Company/>
  <LinksUpToDate>false</LinksUpToDate>
  <CharactersWithSpaces>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2024-05-22T06:55:00Z</dcterms:created>
  <dcterms:modified xsi:type="dcterms:W3CDTF">2024-05-22T06:56:00Z</dcterms:modified>
</cp:coreProperties>
</file>