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7" w:line="280" w:lineRule="exact"/>
        <w:ind w:left="3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4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Ajang, Yan. “Meneladani Ketaatan Dan Kesetian Ayub Sebagai Refleksi Hidup Beriman </w:t>
      </w:r>
      <w:r>
        <w:rPr>
          <w:rStyle w:val="CharStyle10"/>
        </w:rPr>
        <w:t>” JurnalPendidikan Agama Kalolik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I, no. 1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7" w:line="608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Anggito, AIbi, and S.Pd Johan Setiawan.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Barat CV. Jejak,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Aris Suksmono. </w:t>
      </w:r>
      <w:r>
        <w:rPr>
          <w:rStyle w:val="CharStyle10"/>
        </w:rPr>
        <w:t>MEMBONGKAR FAKTA DUNIA ROH.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ANDI(Penerbit Buku dan Majalah Rohani),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1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B.Bevans, Stephen. </w:t>
      </w:r>
      <w:r>
        <w:rPr>
          <w:rStyle w:val="CharStyle10"/>
        </w:rPr>
        <w:t>Model Model Teologi Konntekstual.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Maumere: Ledalero, </w:t>
      </w:r>
      <w:r>
        <w:rPr>
          <w:rStyle w:val="CharStyle11"/>
        </w:rPr>
        <w:t>2002</w:t>
      </w:r>
      <w:r>
        <w:rPr>
          <w:rStyle w:val="CharStyle12"/>
          <w:b w:val="0"/>
          <w:b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636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Boice, James Montgomery. </w:t>
      </w:r>
      <w:r>
        <w:rPr>
          <w:rStyle w:val="CharStyle10"/>
        </w:rPr>
        <w:t>Dasar Dasar Iman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 ,2011.,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64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Deddy Mulyana, M.A.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5" w:line="64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Drs. Herimanto, M.Pd., M.Si, and M.Si. Wimamo, S.Pd. </w:t>
      </w:r>
      <w:r>
        <w:rPr>
          <w:rStyle w:val="CharStyle10"/>
        </w:rPr>
        <w:t>11mu Sosial Dasar Dan Budaya Dasar.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Bumi Aksara,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81" w:line="636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Faot, Agustunus, Jonathan Octavianus, and Juanda. “Kematian Bukan Akhir Dari Segalanya.” </w:t>
      </w:r>
      <w:r>
        <w:rPr>
          <w:rStyle w:val="CharStyle10"/>
        </w:rPr>
        <w:t>KERUSSO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2, no. 2 (2017): 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2" w:line="26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Gp, Harianto. </w:t>
      </w:r>
      <w:r>
        <w:rPr>
          <w:rStyle w:val="CharStyle10"/>
        </w:rPr>
        <w:t>Teologi Misi.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620" w:right="0" w:hanging="62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789" w:left="1520" w:right="1386" w:bottom="146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Hadawi, and Mimi Martin. </w:t>
      </w:r>
      <w:r>
        <w:rPr>
          <w:rStyle w:val="CharStyle10"/>
        </w:rPr>
        <w:t>Penelitian Terapan.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Gajahmada University Pres Indonesia,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91" w:line="26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Harun hadiwi jono. </w:t>
      </w:r>
      <w:r>
        <w:rPr>
          <w:rStyle w:val="CharStyle10"/>
        </w:rPr>
        <w:t>Iman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BPK Gunung Mulia,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Krisnando, Decky, Egar Objantoro, and I Putu Ayub Darmawan. “Konsep Teologi Injili Tentang Roh Orang Mati</w:t>
      </w:r>
      <w:r>
        <w:rPr>
          <w:rStyle w:val="CharStyle10"/>
        </w:rPr>
        <w:t>jurnal Teologi Injili dan Pembinaan Warga Jemaat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1 (2019): 90-91.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9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Tomas Edison, Daud Bara, Arrena, Yohanes Nanju, Abraham "wawancara" Tokoh Adat,Tua-tua Kampung, 13 Oktober2021.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62" w:line="61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Kondo Benteng, dan Kalfin, "Wawancara" Majelis Gereja Toraja, 23 Oktober, </w:t>
      </w:r>
      <w:r>
        <w:rPr>
          <w:rStyle w:val="CharStyle11"/>
        </w:rPr>
        <w:t>2021</w:t>
      </w:r>
      <w:r>
        <w:rPr>
          <w:rStyle w:val="CharStyle13"/>
          <w:b/>
          <w:bCs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 w:line="636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Nataniel Mantolo, dan Elias Telang, "Wawancara" Majelis Gereja Toraja, 22 Oktober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85" w:line="641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Kalfin, Nataniel Mantolo,Benyamin Garege, Paulus Pauli, "Wawancara" Majelis Gereja, dan Tua-tua kampung, 16 Oktober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559" w:line="26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Arrena, dan Lumaba, "Wawancara" Tua-tua Kampung, 14 Oktober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54" w:line="26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Daud Bara, "wawancara" Ketua Adat To Lemo, 13 Oktober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" w:line="641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Daud Bara, Arrena, Petrus Panjang, dan Yohanes Nanju, "Wawancara" Ketua Adat dan Tua-tua Kampung, Oktober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844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Arrena, "Wawancara" Tua-tua Kampung, 13 Oktober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844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Arrena, Dan Yohanes Nanju "Wawancara" Tua-tua kampung, Oktober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844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Muhajir, Noeng.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Sarasin: Yogyakarta,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84" w:line="26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Mustofa, Agus. </w:t>
      </w:r>
      <w:r>
        <w:rPr>
          <w:rStyle w:val="CharStyle10"/>
        </w:rPr>
        <w:t>Melawan Kematian.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PADMA Pres,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67" w:line="61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Ojad, Viktorinus Raja. “Keberadaan Jiwa Manusia Setelah Kematian.” </w:t>
      </w:r>
      <w:r>
        <w:rPr>
          <w:rStyle w:val="CharStyle10"/>
        </w:rPr>
        <w:t>Jurnal Sepakal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3, no. 1 (2016): 119-132.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636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Pdt. B.F. Drewes, M.Th, and D. Th.20 Pdt. Julianus mojau. </w:t>
      </w:r>
      <w:r>
        <w:rPr>
          <w:rStyle w:val="CharStyle10"/>
        </w:rPr>
        <w:t>Apa Itu Teologi? Pengantar Ke Dalam llmu Teologi.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 w:line="636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Pilemon Bukit. “Pandangan Kristen Tentang Kebudayaan Dan Adat Istiadat Di Dalamnya.” </w:t>
      </w:r>
      <w:r>
        <w:rPr>
          <w:rStyle w:val="CharStyle10"/>
        </w:rPr>
        <w:t>SOTERIA Jurnal Teologi Dan Pelayanan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Volume 2, no. 1 (2019): 2-8.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64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Rutonga, Nova. “Teologi Sebagai Landasan Bagi Gereja Dalam Mengembangkan Penddikan Agama Kristen.” </w:t>
      </w:r>
      <w:r>
        <w:rPr>
          <w:rStyle w:val="CharStyle10"/>
        </w:rPr>
        <w:t>Jurnal Shanan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 1 (2020): 23-24.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 w:line="64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Sabaria Zega. “Keberadaan Orang Percaya Setelah Kematian Menurut 1 Tesalonika 4:14.” </w:t>
      </w:r>
      <w:r>
        <w:rPr>
          <w:rStyle w:val="CharStyle10"/>
        </w:rPr>
        <w:t>Jurnal Teologi dan Pendidikan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1 (2020): 36-39.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47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Suanglangi, Hermanto. “Iman Kristen Dan Akal Budi.” </w:t>
      </w:r>
      <w:r>
        <w:rPr>
          <w:rStyle w:val="CharStyle10"/>
        </w:rPr>
        <w:t>jurnal Jaffaray; jurnal teologi dan studi pastoral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2 (2004): 44-45.</w:t>
      </w:r>
    </w:p>
    <w:sectPr>
      <w:footerReference w:type="default" r:id="rId6"/>
      <w:footnotePr>
        <w:pos w:val="pageBottom"/>
        <w:numFmt w:val="decimal"/>
        <w:numRestart w:val="continuous"/>
      </w:footnotePr>
      <w:pgSz w:w="11900" w:h="16840"/>
      <w:pgMar w:top="789" w:left="1520" w:right="1386" w:bottom="146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7pt;margin-top:799.6pt;width:10.9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14 pt"/>
    <w:basedOn w:val="CharStyle9"/>
    <w:rPr>
      <w:lang w:val="en-US" w:eastAsia="en-US" w:bidi="en-US"/>
      <w:sz w:val="28"/>
      <w:szCs w:val="28"/>
      <w:w w:val="100"/>
      <w:spacing w:val="0"/>
      <w:color w:val="000000"/>
      <w:position w:val="0"/>
    </w:rPr>
  </w:style>
  <w:style w:type="character" w:customStyle="1" w:styleId="CharStyle12">
    <w:name w:val="Body text (2) + Lucida Sans Unicode,9.5 pt"/>
    <w:basedOn w:val="CharStyle9"/>
    <w:rPr>
      <w:lang w:val="en-US" w:eastAsia="en-US" w:bidi="en-US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3">
    <w:name w:val="Body text (2) + 7.5 pt,Bold"/>
    <w:basedOn w:val="CharStyle9"/>
    <w:rPr>
      <w:lang w:val="en-US" w:eastAsia="en-US" w:bidi="en-US"/>
      <w:b/>
      <w:bCs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40" w:after="180" w:line="624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