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220" w:lineRule="exact"/>
        <w:ind w:left="4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95" w:line="613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.95pt;margin-top:-3.95pt;width:121.45pt;height:154.55pt;z-index:-125829376;mso-wrap-distance-left:5.pt;mso-wrap-distance-right:8.1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Melfiani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La'bi,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dilahirkan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To' Yasa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Riu, Lembang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Suloara,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Sesean Suloara',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Toraja Utara, Provinsi Sulawesi Selatan, pada tanggal 14 April 1999. Peneliti merupakan anak ke-sembilan dari sepuluh bersaudara, dengan tiga orang perempuan dan tujuh orang laki-laki, dari pasangan Ayah Alm.Yohanes Sulle dan 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Rante.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riwayat pendidikan yang ditempuh oleh peneliti adalah sebagai berikut:</w:t>
      </w:r>
    </w:p>
    <w:p>
      <w:pPr>
        <w:pStyle w:val="Style3"/>
        <w:numPr>
          <w:ilvl w:val="0"/>
          <w:numId w:val="1"/>
        </w:numPr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Dasar (SD) di SDN 33 To'Yasa Riu yang kini beralih menjadi SDN 2 Sesean Suloara pada tahun 2006 dan selesai pada tahun 2012.</w:t>
      </w:r>
    </w:p>
    <w:p>
      <w:pPr>
        <w:pStyle w:val="Style3"/>
        <w:numPr>
          <w:ilvl w:val="0"/>
          <w:numId w:val="1"/>
        </w:numPr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2012 peneliti melanjutkan pendidikan ke jenjang Sekolah Menengah Pertama (SMP) di SMP Negeri 2 Tikala, dan boleh selesai pada tahun 2015.</w:t>
      </w:r>
    </w:p>
    <w:p>
      <w:pPr>
        <w:pStyle w:val="Style3"/>
        <w:numPr>
          <w:ilvl w:val="0"/>
          <w:numId w:val="1"/>
        </w:numPr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 melanjutkan pendidikan ke tingkat Sekolah Menengah Atas (SMA) pada tahun 2015, di SMA Kristen Terang Harapan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kini beralih menjadi, Sekolah Menengah Teologi Kristen (SMTK)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selesai padan tahun 2018.</w:t>
      </w:r>
    </w:p>
    <w:p>
      <w:pPr>
        <w:pStyle w:val="Style3"/>
        <w:numPr>
          <w:ilvl w:val="0"/>
          <w:numId w:val="1"/>
        </w:numPr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2018, peneliti diterima dan melanjutkan pendidikan di Kampus Sekolah Tinggi Agama Kristen Negeri (STAKN) Toraja yang kemudian beralih menjadi Institut Agama Kristen Negeri (LAKN) Toraja,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6" w:line="22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memilih jurusan Teologi Kristen, peneliti menyelesaikan </w:t>
      </w:r>
      <w:r>
        <w:rPr>
          <w:rStyle w:val="CharStyle5"/>
        </w:rPr>
        <w:t>pendidikan Strata 1 (S 1) di IAKN Toraja pada tahun 2022.</w:t>
      </w:r>
    </w:p>
    <w:sectPr>
      <w:footnotePr>
        <w:pos w:val="pageBottom"/>
        <w:numFmt w:val="decimal"/>
        <w:numRestart w:val="continuous"/>
      </w:footnotePr>
      <w:pgSz w:w="11900" w:h="16840"/>
      <w:pgMar w:top="1581" w:left="802" w:right="2744" w:bottom="19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5">
    <w:name w:val="Body text (3)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0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