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023" w:line="280" w:lineRule="exact"/>
        <w:ind w:left="338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Sumber Buku: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AW Suranto. </w:t>
      </w:r>
      <w:r>
        <w:rPr>
          <w:rStyle w:val="CharStyle12"/>
        </w:rPr>
        <w:t>Komunikasi Sosial Budaya.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Graha Ilmu, 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Ikhsan, Rahmatul. "Analisis Desain Interior Pada Perpustakaan Perguruan Tinggi Studi Komparatif Pada Perpustakaan Universitas Negeri Andalas Dan Universitas Putra Indonesia YPTK." </w:t>
      </w:r>
      <w:r>
        <w:rPr>
          <w:rStyle w:val="CharStyle12"/>
        </w:rPr>
        <w:t>Jurnal Desain Interior 5,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1 </w:t>
      </w:r>
      <w:r>
        <w:rPr>
          <w:rStyle w:val="CharStyle13"/>
        </w:rPr>
        <w:t>(</w:t>
      </w:r>
      <w:r>
        <w:rPr>
          <w:rStyle w:val="CharStyle14"/>
          <w:b w:val="0"/>
          <w:bCs w:val="0"/>
        </w:rPr>
        <w:t>2020</w:t>
      </w:r>
      <w:r>
        <w:rPr>
          <w:rStyle w:val="CharStyle13"/>
        </w:rPr>
        <w:t xml:space="preserve">): </w:t>
      </w:r>
      <w:r>
        <w:rPr>
          <w:rStyle w:val="CharStyle14"/>
          <w:b w:val="0"/>
          <w:bCs w:val="0"/>
        </w:rPr>
        <w:t>01</w:t>
      </w:r>
      <w:r>
        <w:rPr>
          <w:rStyle w:val="CharStyle13"/>
        </w:rPr>
        <w:t>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Martha, and E. Kresno. </w:t>
      </w:r>
      <w:r>
        <w:rPr>
          <w:rStyle w:val="CharStyle12"/>
        </w:rPr>
        <w:t xml:space="preserve">Metodologi Penelitian Kualitatif Untuk Bidang Kesehatan.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Depok: Raja Grafindo Persada,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Muliati, Bind and Muhamad Khoirul Umam. "Phenomenon Of Changes In Increasing Development Of Students In Basic School." </w:t>
      </w:r>
      <w:r>
        <w:rPr>
          <w:rStyle w:val="CharStyle12"/>
        </w:rPr>
        <w:t>MID A: Jurnal Pendidikan Dasar Islam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1 (2019): 96-105.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Rodiah, Siti and Veny Andika Triyana. "Analisis Kemampuan Penalaran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Matematis Siswa Kelas IX MTS Pada Materi Sistem Persamaan Linear Dua Variabel Berdasarkan Gender." </w:t>
      </w:r>
      <w:r>
        <w:rPr>
          <w:rStyle w:val="CharStyle12"/>
        </w:rPr>
        <w:t>Jurnal Kajian Pembelajaran Matematika 3,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1 (2019): 1-8.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/>
      </w:pPr>
      <w:r>
        <w:rPr>
          <w:rStyle w:val="CharStyle17"/>
          <w:i w:val="0"/>
          <w:iCs w:val="0"/>
        </w:rPr>
        <w:t xml:space="preserve">Setyosari, P.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Pendidikan Dan Pengembangan.</w:t>
      </w:r>
      <w:r>
        <w:rPr>
          <w:rStyle w:val="CharStyle17"/>
          <w:i w:val="0"/>
          <w:iCs w:val="0"/>
        </w:rPr>
        <w:t xml:space="preserve"> Jakarta: Kencana,</w:t>
      </w:r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0"/>
        <w:ind w:left="640" w:right="0" w:firstLine="0"/>
      </w:pPr>
      <w:bookmarkStart w:id="1" w:name="bookmark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2012</w:t>
      </w:r>
      <w:r>
        <w:rPr>
          <w:rStyle w:val="CharStyle20"/>
          <w:b w:val="0"/>
          <w:bCs w:val="0"/>
        </w:rPr>
        <w:t>.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Somantri, Gumilar Rusliwa. "Gumilar Rusliwa Somantri." </w:t>
      </w:r>
      <w:r>
        <w:rPr>
          <w:rStyle w:val="CharStyle12"/>
        </w:rPr>
        <w:t>Makara, Sosial Humaniora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9, no. 2 (2005): 57-65.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640" w:right="0"/>
      </w:pPr>
      <w:r>
        <w:rPr>
          <w:rStyle w:val="CharStyle17"/>
          <w:i w:val="0"/>
          <w:iCs w:val="0"/>
        </w:rPr>
        <w:t xml:space="preserve">Sugiyono.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Metode Penelitian Pendidikan Pendekatan Kuantitatif, Kualitatif, Dan R&amp;D. </w:t>
      </w:r>
      <w:r>
        <w:rPr>
          <w:rStyle w:val="CharStyle17"/>
          <w:i w:val="0"/>
          <w:iCs w:val="0"/>
        </w:rPr>
        <w:t>Bandung: Alfabeta,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9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Surayya, Rahmi. "Pendekatan Kualitatif Dalam Penelitian Kesehatan." </w:t>
      </w:r>
      <w:r>
        <w:rPr>
          <w:rStyle w:val="CharStyle12"/>
        </w:rPr>
        <w:t>Averrous 1,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2 (2015): 75-84.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Syahputra, Rizki. "Strategi Pemasaran Dalam Alquran Tentang Promosi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640" w:right="0" w:firstLine="0"/>
      </w:pPr>
      <w:r>
        <w:rPr>
          <w:rStyle w:val="CharStyle17"/>
          <w:i w:val="0"/>
          <w:iCs w:val="0"/>
        </w:rPr>
        <w:t xml:space="preserve">Penjualan."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Ecobisma (Jurnal Ekonomi, Bistiis Dan Manajemen)</w:t>
      </w:r>
      <w:r>
        <w:rPr>
          <w:rStyle w:val="CharStyle17"/>
          <w:i w:val="0"/>
          <w:iCs w:val="0"/>
        </w:rPr>
        <w:t xml:space="preserve"> 6, no. 2 (2019): 83-88.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84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Utomo, Bambang Budi. </w:t>
      </w:r>
      <w:r>
        <w:rPr>
          <w:rStyle w:val="CharStyle12"/>
        </w:rPr>
        <w:t>Warisan Bahari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Pustaka Obor Indonesia,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731" w:line="24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"BibleWorks,"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5" w:line="24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Sumber Jumal: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06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AW, Suranto. </w:t>
      </w:r>
      <w:r>
        <w:rPr>
          <w:rStyle w:val="CharStyle12"/>
        </w:rPr>
        <w:t>Komunikasi Sosial Budaija.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Graha Ilmu, 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06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Ikhsan, Rahmatul. "Analisis Desain Interior Pada Perpustakaan Perguruan Tinggi Studi Komparatif Pada Perpustakaan Universitas Negeri Andalas Dan Universitas Putra Indonesia YPTK." </w:t>
      </w:r>
      <w:r>
        <w:rPr>
          <w:rStyle w:val="CharStyle12"/>
        </w:rPr>
        <w:t>]urnal Desain Interior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5, no. 1 (2020): </w:t>
      </w:r>
      <w:r>
        <w:rPr>
          <w:rStyle w:val="CharStyle21"/>
          <w:b w:val="0"/>
          <w:bCs w:val="0"/>
        </w:rPr>
        <w:t>01</w:t>
      </w:r>
      <w:r>
        <w:rPr>
          <w:rStyle w:val="CharStyle22"/>
          <w:b w:val="0"/>
          <w:bCs w:val="0"/>
        </w:rPr>
        <w:t>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06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Martha, and E. Kresno. </w:t>
      </w:r>
      <w:r>
        <w:rPr>
          <w:rStyle w:val="CharStyle12"/>
        </w:rPr>
        <w:t xml:space="preserve">Metodologi Penelitian Kualitatif Untuk Bidang Kesehatan.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Depok: Raja Grafindo Persada,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06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Muliati, Binti, and Muhamad Khoirul Umam. "Phenomenon Of Changes In Increasing Development Of Students In Basic School." </w:t>
      </w:r>
      <w:r>
        <w:rPr>
          <w:rStyle w:val="CharStyle12"/>
        </w:rPr>
        <w:t>MID A: Jumal Pendidikan Dasar Islam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2, no. 1 (2019): 96-105.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06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Ratih Wijayaningsih. "Perbedaan Kualitas Kerja Siswa Program Keahlian Tata Busana Di Bisnis Center Dan Unit Produksi." </w:t>
      </w:r>
      <w:r>
        <w:rPr>
          <w:rStyle w:val="CharStyle12"/>
        </w:rPr>
        <w:t xml:space="preserve">Fashion And Fashion Education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2, no. 1 (2010): 56.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06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Rodiah, Siti, and Veny Andika Triyana. "Analisis Kemampuan Penalaran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06" w:lineRule="exact"/>
        <w:ind w:left="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Matematis Siswa Kelas IX MTS Pada Materi Sistem Persamaan Linear Dua Variabel Berdasarkan Gender." </w:t>
      </w:r>
      <w:r>
        <w:rPr>
          <w:rStyle w:val="CharStyle12"/>
        </w:rPr>
        <w:t>Jumal Kajian Pentbelajaran Matematika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3, no. 1 (2019): 1-8.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529" w:lineRule="exact"/>
        <w:ind w:left="640" w:right="0"/>
      </w:pPr>
      <w:r>
        <w:rPr>
          <w:rStyle w:val="CharStyle17"/>
          <w:i w:val="0"/>
          <w:iCs w:val="0"/>
        </w:rPr>
        <w:t xml:space="preserve">Setyosari, P.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Pendidikan Dan Pengembangan.</w:t>
      </w:r>
      <w:r>
        <w:rPr>
          <w:rStyle w:val="CharStyle17"/>
          <w:i w:val="0"/>
          <w:iCs w:val="0"/>
        </w:rPr>
        <w:t xml:space="preserve"> Jakarta: Kencana,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/>
        <w:ind w:left="640" w:right="0" w:firstLine="0"/>
      </w:pPr>
      <w:bookmarkStart w:id="2" w:name="bookmark2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2012</w:t>
      </w:r>
      <w:r>
        <w:rPr>
          <w:rStyle w:val="CharStyle25"/>
          <w:b w:val="0"/>
          <w:bCs w:val="0"/>
        </w:rPr>
        <w:t>.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Somantri, Gumilar Rusliwa. "Gumilar Rusliwa Somantri." </w:t>
      </w:r>
      <w:r>
        <w:rPr>
          <w:rStyle w:val="CharStyle12"/>
        </w:rPr>
        <w:t>Makara, Sosial Humaniora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9, no. 2 (2005): 57-65.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640" w:right="0"/>
      </w:pPr>
      <w:r>
        <w:rPr>
          <w:rStyle w:val="CharStyle17"/>
          <w:i w:val="0"/>
          <w:iCs w:val="0"/>
        </w:rPr>
        <w:t xml:space="preserve">Sugiyono.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Metode Penelitian Pendidikan Pendekatan Kuantitatif, Kualitatif, Dan R&amp;D. </w:t>
      </w:r>
      <w:r>
        <w:rPr>
          <w:rStyle w:val="CharStyle17"/>
          <w:i w:val="0"/>
          <w:iCs w:val="0"/>
        </w:rPr>
        <w:t>Bandung: Alfabeta,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Surayya, Rahmi. "Pendekatan Kualitatif Dalam Penelitian Kesehatan." </w:t>
      </w:r>
      <w:r>
        <w:rPr>
          <w:rStyle w:val="CharStyle12"/>
        </w:rPr>
        <w:t>Averrous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51" w:line="240" w:lineRule="exact"/>
        <w:ind w:left="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1, no. 2 (2015): 75-84.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Syahputra, Rizki. "Strategi Pemasaran Dalam Alquran Tentang Promosi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0" w:right="0" w:firstLine="0"/>
      </w:pPr>
      <w:r>
        <w:rPr>
          <w:rStyle w:val="CharStyle17"/>
          <w:i w:val="0"/>
          <w:iCs w:val="0"/>
        </w:rPr>
        <w:t xml:space="preserve">Penjualan."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Ecobisma (Jurnal Ekonomi, Bisnis Dan Manajemen)</w:t>
      </w:r>
      <w:r>
        <w:rPr>
          <w:rStyle w:val="CharStyle17"/>
          <w:i w:val="0"/>
          <w:iCs w:val="0"/>
        </w:rPr>
        <w:t xml:space="preserve"> 6, no. 2 (2019): 83-88.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Utomo, Bambang Budi. </w:t>
      </w:r>
      <w:r>
        <w:rPr>
          <w:rStyle w:val="CharStyle12"/>
        </w:rPr>
        <w:t>Warisan Bahari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Pustaka Obor Indonesia, 2016.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20160"/>
      <w:pgMar w:top="3003" w:left="1642" w:right="1711" w:bottom="2500" w:header="0" w:footer="3" w:gutter="0"/>
      <w:rtlGutter w:val="0"/>
      <w:cols w:space="720"/>
      <w:pgNumType w:start="72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08.2pt;margin-top:915.95pt;width:11.25pt;height:8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6.6pt;margin-top:66.55pt;width:10.95pt;height:8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7">
    <w:name w:val="Header or footer"/>
    <w:basedOn w:val="CharStyle6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12">
    <w:name w:val="Body text (2) +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3">
    <w:name w:val="Body text (2) + Bold"/>
    <w:basedOn w:val="CharStyle11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11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/>
      <w:iCs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17">
    <w:name w:val="Body text (4) + Not Italic"/>
    <w:basedOn w:val="CharStyle1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9">
    <w:name w:val="Heading #2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20">
    <w:name w:val="Heading #2 + Lucida Sans Unicode,11.5 pt"/>
    <w:basedOn w:val="CharStyle19"/>
    <w:rPr>
      <w:lang w:val="en-US" w:eastAsia="en-US" w:bidi="en-US"/>
      <w:sz w:val="23"/>
      <w:szCs w:val="2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1">
    <w:name w:val="Body text (2)"/>
    <w:basedOn w:val="CharStyle11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Body text (2) + Lucida Sans Unicode,14 pt"/>
    <w:basedOn w:val="CharStyle11"/>
    <w:rPr>
      <w:lang w:val="en-US" w:eastAsia="en-US" w:bidi="en-US"/>
      <w:b/>
      <w:bCs/>
      <w:sz w:val="28"/>
      <w:szCs w:val="28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4">
    <w:name w:val="Heading #2 (2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25">
    <w:name w:val="Heading #2 (2) + Lucida Sans Unicode,11.5 pt"/>
    <w:basedOn w:val="CharStyle24"/>
    <w:rPr>
      <w:lang w:val="en-US" w:eastAsia="en-US" w:bidi="en-US"/>
      <w:sz w:val="23"/>
      <w:szCs w:val="2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108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1080" w:after="240" w:line="0" w:lineRule="exact"/>
      <w:ind w:hanging="640"/>
    </w:pPr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240" w:line="512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line="512" w:lineRule="exact"/>
      <w:ind w:hanging="640"/>
    </w:pPr>
    <w:rPr>
      <w:b w:val="0"/>
      <w:bCs w:val="0"/>
      <w:i/>
      <w:iCs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18">
    <w:name w:val="Heading #2"/>
    <w:basedOn w:val="Normal"/>
    <w:link w:val="CharStyle19"/>
    <w:pPr>
      <w:widowControl w:val="0"/>
      <w:shd w:val="clear" w:color="auto" w:fill="FFFFFF"/>
      <w:outlineLvl w:val="1"/>
      <w:spacing w:line="512" w:lineRule="exact"/>
    </w:pPr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23">
    <w:name w:val="Heading #2 (2)"/>
    <w:basedOn w:val="Normal"/>
    <w:link w:val="CharStyle24"/>
    <w:pPr>
      <w:widowControl w:val="0"/>
      <w:shd w:val="clear" w:color="auto" w:fill="FFFFFF"/>
      <w:outlineLvl w:val="1"/>
      <w:spacing w:line="529" w:lineRule="exact"/>
    </w:pPr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