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34B" w:rsidRDefault="001941FA">
      <w:pPr>
        <w:pStyle w:val="Heading10"/>
        <w:keepNext/>
        <w:keepLines/>
        <w:shd w:val="clear" w:color="auto" w:fill="auto"/>
        <w:spacing w:after="568" w:line="300" w:lineRule="exact"/>
        <w:ind w:right="40"/>
      </w:pPr>
      <w:bookmarkStart w:id="0" w:name="bookmark0"/>
      <w:r>
        <w:rPr>
          <w:rStyle w:val="Heading1Spacing2pt"/>
          <w:b/>
          <w:bCs/>
        </w:rPr>
        <w:t>BABI</w:t>
      </w:r>
      <w:bookmarkEnd w:id="0"/>
    </w:p>
    <w:p w:rsidR="00C7134B" w:rsidRDefault="001941FA">
      <w:pPr>
        <w:pStyle w:val="Heading10"/>
        <w:keepNext/>
        <w:keepLines/>
        <w:shd w:val="clear" w:color="auto" w:fill="auto"/>
        <w:spacing w:after="71" w:line="300" w:lineRule="exact"/>
        <w:ind w:right="40"/>
      </w:pPr>
      <w:bookmarkStart w:id="1" w:name="bookmark1"/>
      <w:r>
        <w:t>PENDAHULUAN</w:t>
      </w:r>
      <w:bookmarkEnd w:id="1"/>
    </w:p>
    <w:p w:rsidR="00C7134B" w:rsidRDefault="001941FA">
      <w:pPr>
        <w:pStyle w:val="Bodytext20"/>
        <w:shd w:val="clear" w:color="auto" w:fill="auto"/>
        <w:spacing w:before="0"/>
      </w:pPr>
      <w:r>
        <w:t>A. Latar Belakang</w:t>
      </w:r>
    </w:p>
    <w:p w:rsidR="00C7134B" w:rsidRDefault="001941FA">
      <w:pPr>
        <w:pStyle w:val="Bodytext20"/>
        <w:shd w:val="clear" w:color="auto" w:fill="auto"/>
        <w:spacing w:before="0"/>
        <w:ind w:left="440" w:firstLine="400"/>
        <w:jc w:val="both"/>
      </w:pPr>
      <w:r>
        <w:t>Dalam praktek kehidupan dan kepercayaan manusia, simbol-simbol memegang peran yang sangat penting karena diyakini bahwa di balik sebuah simbol tersimpan sesuatu objek, fakta dan peristiwa yang erat hubungannya dengan kehidupan manusia terutama hal-hal yang</w:t>
      </w:r>
      <w:r>
        <w:t xml:space="preserve"> berada di luar jangkauan indrawi manusia atau lazim disebut sebagai realitas transenden (Latin: </w:t>
      </w:r>
      <w:r>
        <w:rPr>
          <w:rStyle w:val="Bodytext2Italic"/>
          <w:lang w:val="en-US" w:eastAsia="en-US" w:bidi="en-US"/>
        </w:rPr>
        <w:t>Trans</w:t>
      </w:r>
      <w:r>
        <w:t xml:space="preserve">- </w:t>
      </w:r>
      <w:r>
        <w:rPr>
          <w:rStyle w:val="Bodytext2Italic"/>
        </w:rPr>
        <w:t>cendere</w:t>
      </w:r>
      <w:r>
        <w:t>: berada di atas mengatasi, melebihi, melampaui).</w:t>
      </w:r>
    </w:p>
    <w:p w:rsidR="00C7134B" w:rsidRDefault="001941FA">
      <w:pPr>
        <w:pStyle w:val="Bodytext20"/>
        <w:shd w:val="clear" w:color="auto" w:fill="auto"/>
        <w:spacing w:before="0"/>
        <w:ind w:left="440" w:firstLine="400"/>
        <w:jc w:val="both"/>
      </w:pPr>
      <w:r>
        <w:t>Dari kenyataan di atas, maka tidak mengherankan jika manusia selaku ciptaan Allah yang dilengka</w:t>
      </w:r>
      <w:r>
        <w:t>pi akal dan pikiran terus melakukan pencarian serta penggalian arti serta makna di balik simbol-simbol termasuk membuat dan menggunakan simbol-simbol sebagai wujud pengaktualisasian pikiran dan kehendak manusia.</w:t>
      </w:r>
      <w:r>
        <w:rPr>
          <w:vertAlign w:val="superscript"/>
        </w:rPr>
        <w:footnoteReference w:id="1"/>
      </w:r>
      <w:r>
        <w:t xml:space="preserve"> Tujuannya agar dimensi-dimensi rohani dan s</w:t>
      </w:r>
      <w:r>
        <w:t>pritual manusia mengalami perkembangan serta terbuka untuk mengenal dunia dalam konteks keterhubungan manusia dengan Allah sebagai pencipta, sesama manusia dan alam ciptaan lain dengan berbagai tantangan dan peluang yang sementara bergulir dan terus dihada</w:t>
      </w:r>
      <w:r>
        <w:t>pi oleh manusia.</w:t>
      </w:r>
    </w:p>
    <w:p w:rsidR="00C7134B" w:rsidRDefault="001941FA">
      <w:pPr>
        <w:pStyle w:val="Bodytext30"/>
        <w:shd w:val="clear" w:color="auto" w:fill="auto"/>
        <w:spacing w:line="220" w:lineRule="exact"/>
        <w:ind w:left="440" w:firstLine="400"/>
      </w:pPr>
      <w:r>
        <w:t>Manusia tidak melihat, menemukan dan mengenal dunia secara langsung tetapi melalui</w:t>
      </w:r>
    </w:p>
    <w:p w:rsidR="00C7134B" w:rsidRDefault="001941FA">
      <w:pPr>
        <w:pStyle w:val="Bodytext30"/>
        <w:shd w:val="clear" w:color="auto" w:fill="auto"/>
        <w:spacing w:line="220" w:lineRule="exact"/>
        <w:ind w:left="440" w:firstLine="400"/>
      </w:pPr>
      <w:r>
        <w:t>berbagai simbol yang berperan memberi keluasan dan keleluasaan pemahaman. Dengan</w:t>
      </w:r>
    </w:p>
    <w:p w:rsidR="00C7134B" w:rsidRDefault="001941FA">
      <w:pPr>
        <w:pStyle w:val="Bodytext30"/>
        <w:shd w:val="clear" w:color="auto" w:fill="auto"/>
        <w:spacing w:line="248" w:lineRule="exact"/>
        <w:ind w:left="880"/>
      </w:pPr>
      <w:r>
        <w:t>pikirannya manusia menciptakan simbol-simbol dan dengan menggunakan simbol-</w:t>
      </w:r>
      <w:r>
        <w:t xml:space="preserve">simbol manusia berpikir untuk mengartikannya. </w:t>
      </w:r>
      <w:r>
        <w:rPr>
          <w:vertAlign w:val="superscript"/>
        </w:rPr>
        <w:footnoteReference w:id="2"/>
      </w:r>
      <w:r>
        <w:rPr>
          <w:vertAlign w:val="superscript"/>
        </w:rPr>
        <w:t xml:space="preserve"> </w:t>
      </w:r>
      <w:r>
        <w:rPr>
          <w:vertAlign w:val="superscript"/>
        </w:rPr>
        <w:footnoteReference w:id="3"/>
      </w:r>
    </w:p>
    <w:p w:rsidR="00C7134B" w:rsidRDefault="001941FA">
      <w:pPr>
        <w:pStyle w:val="Bodytext20"/>
        <w:shd w:val="clear" w:color="auto" w:fill="auto"/>
        <w:spacing w:before="0" w:after="180" w:line="585" w:lineRule="exact"/>
        <w:ind w:left="460" w:firstLine="420"/>
        <w:jc w:val="both"/>
      </w:pPr>
      <w:r>
        <w:t xml:space="preserve">Setelah melakukan </w:t>
      </w:r>
      <w:r>
        <w:rPr>
          <w:rStyle w:val="Bodytext2Italic"/>
        </w:rPr>
        <w:t>pencarian dan penggalian arti dan makna dari simbol- simbol</w:t>
      </w:r>
      <w:r>
        <w:t xml:space="preserve"> </w:t>
      </w:r>
      <w:r>
        <w:lastRenderedPageBreak/>
        <w:t>yang berkaitan dengan kehidupan dan kepercayaan, selanjutnya manusia mendefinisikan sesuatu hal yang ada di sekitarnya, termasuk</w:t>
      </w:r>
      <w:r>
        <w:t xml:space="preserve"> kuasa transenden yang diakui sebagai kuasa yang melebihi dirinya. Usaha ini kemudian terwujud dalam bentuk agama, karena itu semakin jelas bahwa agama adalah “sistem simbol”. Di dalam agama yang merupakan sistem simbol, manusia kemudian lebih memfokuskan </w:t>
      </w:r>
      <w:r>
        <w:t>diri serta insaf untuk mengungkap hal-hal yang sama sekali berada di luar bidang konseptual dan lebih banyak menunjuk pada realitas tertinggi yang diwujudkan dalam bentuk-bentuk, peribadahan, sikap, perilaku lengkap dengan sistem nilai, norma yang ditopang</w:t>
      </w:r>
      <w:r>
        <w:t xml:space="preserve"> oleh lingkungan dan keadaan yang di hadapinya. Perlahan-lahan pula rasa kemanusiaan serta penghayatan spiritual manusia dalam perjumpaannya dengan kuasa transenden baik personal maupun kelompok turut pula mengalami pembentukan agar memperoleh keselamatan </w:t>
      </w:r>
      <w:r>
        <w:t>sebagai tujuan untuk sampai kepada apa yang menyangkut diri manusia pada akhirnya.</w:t>
      </w:r>
      <w:r>
        <w:rPr>
          <w:vertAlign w:val="superscript"/>
        </w:rPr>
        <w:footnoteReference w:id="4"/>
      </w:r>
    </w:p>
    <w:p w:rsidR="00C7134B" w:rsidRDefault="001941FA">
      <w:pPr>
        <w:pStyle w:val="Bodytext20"/>
        <w:shd w:val="clear" w:color="auto" w:fill="auto"/>
        <w:spacing w:before="0" w:after="176" w:line="585" w:lineRule="exact"/>
        <w:ind w:left="460" w:firstLine="420"/>
        <w:jc w:val="both"/>
        <w:sectPr w:rsidR="00C7134B">
          <w:footerReference w:type="default" r:id="rId7"/>
          <w:pgSz w:w="11900" w:h="16840"/>
          <w:pgMar w:top="2648" w:right="1638" w:bottom="1317" w:left="751" w:header="0" w:footer="3" w:gutter="0"/>
          <w:cols w:space="720"/>
          <w:noEndnote/>
          <w:docGrid w:linePitch="360"/>
        </w:sectPr>
      </w:pPr>
      <w:r>
        <w:t xml:space="preserve">Sama halnya dengan kekristenan selaku persekutuan umat percaya kepada Yesus Kristus yang menghimpunkan diri dalam Gereja, peran simbol sangatlah besar dalam membesarkan Agama Kristen itu sendiri. Salah satunya adalah salib </w:t>
      </w:r>
    </w:p>
    <w:p w:rsidR="00C7134B" w:rsidRDefault="001941FA">
      <w:pPr>
        <w:pStyle w:val="Bodytext20"/>
        <w:shd w:val="clear" w:color="auto" w:fill="auto"/>
        <w:spacing w:before="0" w:after="176" w:line="585" w:lineRule="exact"/>
        <w:ind w:left="460" w:firstLine="420"/>
        <w:jc w:val="both"/>
      </w:pPr>
      <w:r>
        <w:lastRenderedPageBreak/>
        <w:t>sebagai simbol yang berwujud mat</w:t>
      </w:r>
      <w:r>
        <w:t>erial.</w:t>
      </w:r>
      <w:r>
        <w:rPr>
          <w:vertAlign w:val="superscript"/>
        </w:rPr>
        <w:footnoteReference w:id="5"/>
      </w:r>
      <w:r>
        <w:t xml:space="preserve"> Salib diyakini memiliki daya kekuatan yang mampu mendorong sejarah umat percaya kepada Kristus karena di dalamnya rahmat keadilan, kesetiaan, murka, kasih serta kekudusan Allah dinyatakan kepada umat-Nya melalui penderitaan Yesus Kristus yang menca</w:t>
      </w:r>
      <w:r>
        <w:t>pai puncaknya dalam kematiaan-Nya di kayu salib dan digenapi-Nya melalui kebangkitan-Nya. Dengan tersalibnya Yesus karena dosa dan pelanggaran manusia melawan kehendak Allah yang mengakibatkan hubungan antara manusia dan Allah terputus, maka terjadilah pen</w:t>
      </w:r>
      <w:r>
        <w:t>damaiaan antara Allah dan manusia. Dalam peristiwa ini Yesus disimbolkan sebagai korban tebusan, dosa sebagai kegelapan dan maut sedangkan pendamaiaan, penebusan itu sendiri disimbolkan sebagai terang kehidupan.</w:t>
      </w:r>
      <w:r>
        <w:rPr>
          <w:vertAlign w:val="superscript"/>
        </w:rPr>
        <w:footnoteReference w:id="6"/>
      </w:r>
    </w:p>
    <w:p w:rsidR="00C7134B" w:rsidRDefault="001941FA">
      <w:pPr>
        <w:pStyle w:val="Bodytext20"/>
        <w:shd w:val="clear" w:color="auto" w:fill="auto"/>
        <w:spacing w:before="0" w:line="591" w:lineRule="exact"/>
        <w:ind w:left="480" w:firstLine="400"/>
        <w:jc w:val="both"/>
      </w:pPr>
      <w:r>
        <w:t>Jika dikaitkan dengan segi iman Kristen, di</w:t>
      </w:r>
      <w:r>
        <w:t xml:space="preserve"> mana salib dan kebangkitan merupakan tema sentral pemberitaan dan pengakuan iman Kristen maka kedua hal inilah kemudian bertransformasi di dalam lingkungan kepercayaan kekristenan menghasilkan refleksi iman dan panggilan kekristenan di dalam dunia, yaitu </w:t>
      </w:r>
      <w:r>
        <w:t>bersaksi, bersekutu dan melayani sebagai wujud panggilan iman kepada Allah. Penggambaran ini semakin memperjelas bahwa salib bukanlah sebuah simbol yang sekedar hadir begitu saja dalam sistem kepercayaan dan</w:t>
      </w:r>
    </w:p>
    <w:p w:rsidR="00C7134B" w:rsidRDefault="001941FA">
      <w:pPr>
        <w:pStyle w:val="Bodytext20"/>
        <w:shd w:val="clear" w:color="auto" w:fill="auto"/>
        <w:spacing w:before="0" w:line="574" w:lineRule="exact"/>
        <w:ind w:left="620" w:right="240"/>
        <w:jc w:val="both"/>
      </w:pPr>
      <w:r>
        <w:t>Agama Kristen tetapi merupakan daya kekuatan yan</w:t>
      </w:r>
      <w:r>
        <w:t xml:space="preserve">g berfungsi membangun </w:t>
      </w:r>
      <w:r>
        <w:lastRenderedPageBreak/>
        <w:t>spritualitas kekeristenan dahulu, sekarang dan akan datang. Olehnya itu, selaku manusia yang percaya kepada Kristus, Salib harus dijadikan daya dan kekuatan hidup agar semakin giat menunaikan tugas Tri Panggilan Gereja.</w:t>
      </w:r>
    </w:p>
    <w:p w:rsidR="00C7134B" w:rsidRDefault="001941FA">
      <w:pPr>
        <w:pStyle w:val="Bodytext20"/>
        <w:shd w:val="clear" w:color="auto" w:fill="auto"/>
        <w:spacing w:before="0" w:line="574" w:lineRule="exact"/>
        <w:ind w:left="620" w:right="240" w:firstLine="400"/>
        <w:jc w:val="both"/>
      </w:pPr>
      <w:r>
        <w:t>Salib pada mas</w:t>
      </w:r>
      <w:r>
        <w:t>a kini tidak boleh sekadar dipakai sebagai pajangan belaka untuk memperindah diri sendiri sebagai hiasan, dipajang di dalam ruang ibadah karena memiliki nilai seni dan identitas sebagai pengikut Kristus. Jika hal ini terus dibiarkan maka Gereja sebagai per</w:t>
      </w:r>
      <w:r>
        <w:t>sekutuan umat percaya kepada Kristus yang telah ditebus melalui salib atas penderitaan dan kematian Yesus kian terjebak dan semakin mengalami kekeringan dalam memaknai salib tersebut.</w:t>
      </w:r>
    </w:p>
    <w:p w:rsidR="00C7134B" w:rsidRDefault="001941FA">
      <w:pPr>
        <w:pStyle w:val="Bodytext20"/>
        <w:shd w:val="clear" w:color="auto" w:fill="auto"/>
        <w:spacing w:before="0" w:line="574" w:lineRule="exact"/>
        <w:ind w:left="620" w:right="240" w:firstLine="400"/>
        <w:jc w:val="both"/>
      </w:pPr>
      <w:r>
        <w:t xml:space="preserve">Sebaliknya, Gereja selaku persekutuan orang percaya kepada Kristus pada </w:t>
      </w:r>
      <w:r>
        <w:t>masa kini perlu menggali makna di balik kehadiran salib terutama dalam kaitannya dengan tugas dan tanggung jawab orang Kristen di dalam dunia sehingga maknanya benar-benar utuh bagi kehidupan orang Kristen. Melalui salib setiap orang percaya telah dibebask</w:t>
      </w:r>
      <w:r>
        <w:t>an dari dosa dan maut sehingga perlu untuk menyerahkan hidupnya dalam pekerjaan Kristus dan membiarkan kuasa Kristus berkuasa dan bekeija dalam hidupnya untuk kemudian menyatu dengan perubahan yang sedang berlangsung menuju pada jalan pembebasan/ Jalan pem</w:t>
      </w:r>
      <w:r>
        <w:t xml:space="preserve">bebasan yang dimaksudkan adalah melanjutkan misi Kristus di dalam dunia untuk membebaskan orang yang lemah karena tekanan kemiskinan, penindasan dan ketidakadilan dalam segi sosial, ekonomi, politik serta budaya menuju pada </w:t>
      </w:r>
      <w:r>
        <w:rPr>
          <w:vertAlign w:val="superscript"/>
        </w:rPr>
        <w:footnoteReference w:id="7"/>
      </w:r>
    </w:p>
    <w:p w:rsidR="00C7134B" w:rsidRDefault="001941FA">
      <w:pPr>
        <w:pStyle w:val="Bodytext20"/>
        <w:shd w:val="clear" w:color="auto" w:fill="auto"/>
        <w:spacing w:before="0" w:line="585" w:lineRule="exact"/>
        <w:ind w:left="460"/>
        <w:jc w:val="both"/>
      </w:pPr>
      <w:r>
        <w:lastRenderedPageBreak/>
        <w:t xml:space="preserve">kehidupan yang sejahtera </w:t>
      </w:r>
      <w:r>
        <w:t>sebagai komitmen untuk mewujudkan tanda-tanda kerajaan Allah di muka bumi.</w:t>
      </w:r>
    </w:p>
    <w:p w:rsidR="00C7134B" w:rsidRDefault="001941FA">
      <w:pPr>
        <w:pStyle w:val="Bodytext30"/>
        <w:shd w:val="clear" w:color="auto" w:fill="auto"/>
        <w:spacing w:line="236" w:lineRule="exact"/>
        <w:ind w:left="860"/>
      </w:pPr>
      <w:r>
        <w:t>Solidaritas dengan kaum miskin makin dianggap sebagai tugas utama dalam Pekabaran Injil. Perhatian ini dipertanggung jawabkan secara teologis dengan menunjuk pada kenyataan bahwa Ye</w:t>
      </w:r>
      <w:r>
        <w:t>sus menyatakan perhatian khusus untuk kaum lemah dan kaum miskin. Injil Kerajaan Allah terutama bersifat pembebasan yang secara khusus ditujukan kepada kaum miskin dan tertindas.</w:t>
      </w:r>
      <w:r>
        <w:rPr>
          <w:vertAlign w:val="superscript"/>
        </w:rPr>
        <w:footnoteReference w:id="8"/>
      </w:r>
    </w:p>
    <w:p w:rsidR="00C7134B" w:rsidRDefault="001941FA">
      <w:pPr>
        <w:pStyle w:val="Bodytext20"/>
        <w:shd w:val="clear" w:color="auto" w:fill="auto"/>
        <w:spacing w:before="0" w:after="236"/>
        <w:ind w:left="460" w:firstLine="400"/>
        <w:jc w:val="both"/>
      </w:pPr>
      <w:r>
        <w:t>Dengan demikian, maka jelas bahwa antara salib sebagai simbol dan kemiskinan</w:t>
      </w:r>
      <w:r>
        <w:t xml:space="preserve"> memiliki keterhubungan yang erat, ini dapat dilihat dari fakta bahwa salib adalah simbol penderitaan yang dengannya orang percaya kepada Kristus diharapkan mampu memaknai salib untuk membebaskan sesamanya yang lemah dari kemiskinan, penindasan dan penderi</w:t>
      </w:r>
      <w:r>
        <w:t>taan. Namun kenyataannya, Gereja dewasa ini lebih sibuk pada penataan fisik saja dibanding menjawab tantangan akan kehadiran gereja yang sebenarnya. Dugaan penulis bahwa tindakan orang percaya kepada Kristus untuk lebih menonjolkan salib sebagai lambang da</w:t>
      </w:r>
      <w:r>
        <w:t>n indentitas kekristenan yang telah penulis paparkan di atas akan semakin membuat Gereja kurang memaknai salib dan “menjauhi” panggilannya kepada orang-orang yang lemah dan miskin serta lebih sibuk untuk membenahi pembangunan fisik peribadahan.</w:t>
      </w:r>
    </w:p>
    <w:p w:rsidR="00C7134B" w:rsidRDefault="001941FA">
      <w:pPr>
        <w:pStyle w:val="Bodytext20"/>
        <w:shd w:val="clear" w:color="auto" w:fill="auto"/>
        <w:spacing w:before="0" w:after="189" w:line="585" w:lineRule="exact"/>
        <w:ind w:left="460" w:firstLine="400"/>
        <w:jc w:val="both"/>
      </w:pPr>
      <w:r>
        <w:t>Makna salib</w:t>
      </w:r>
      <w:r>
        <w:t xml:space="preserve"> dalam segi keberimanan orang Kristen yang harus diaplikasikan pada tiga dimensi hidup manusia sepertinya hanya dipandang sebagai hal yang “lumrah dan biasa-biasa saja” (bnd. 1 Kor 1:18. 1 Kor 2:5) Sebab pemberitaan tentang salib adalah kebodohan bagi mere</w:t>
      </w:r>
      <w:r>
        <w:t xml:space="preserve">ka yang akan binasa, tetapi bagi kita yang diselamatkan pemberitaan itu adalah kekuatan Allah. “Supaya iman kamu jangan bergantung pada </w:t>
      </w:r>
      <w:r>
        <w:lastRenderedPageBreak/>
        <w:t>hikmat manusia, tetapi pada kekuatan Allah”.</w:t>
      </w:r>
    </w:p>
    <w:p w:rsidR="00C7134B" w:rsidRDefault="001941FA">
      <w:pPr>
        <w:pStyle w:val="Bodytext20"/>
        <w:shd w:val="clear" w:color="auto" w:fill="auto"/>
        <w:spacing w:before="0" w:line="574" w:lineRule="exact"/>
        <w:ind w:left="440" w:firstLine="400"/>
        <w:jc w:val="both"/>
      </w:pPr>
      <w:r>
        <w:t>Dari pemahaman di atas, maka penulis tertarik untuk mengkaji makna salib da</w:t>
      </w:r>
      <w:r>
        <w:t>lam kaitannya dengan kemiskinan dalam konteks kehidupan orang percaya kepada Kristus, khususnya dalam Gereja Toraja, Jemaat Sangpolo Bungin, Klasis Nonongan Salu. Kemiskinan yang dimaksudkan penulis yaitu ketidakberdayaan seseorang dalam hidupnya yang dise</w:t>
      </w:r>
      <w:r>
        <w:t>babkan oleh faktor sosial, ekonomi, politik dan budaya.</w:t>
      </w:r>
    </w:p>
    <w:p w:rsidR="00C7134B" w:rsidRDefault="001941FA">
      <w:pPr>
        <w:pStyle w:val="Bodytext20"/>
        <w:numPr>
          <w:ilvl w:val="0"/>
          <w:numId w:val="1"/>
        </w:numPr>
        <w:shd w:val="clear" w:color="auto" w:fill="auto"/>
        <w:tabs>
          <w:tab w:val="left" w:pos="392"/>
        </w:tabs>
        <w:spacing w:before="0" w:line="574" w:lineRule="exact"/>
        <w:jc w:val="both"/>
      </w:pPr>
      <w:r>
        <w:t>RUMUSAN MASALAH</w:t>
      </w:r>
    </w:p>
    <w:p w:rsidR="00C7134B" w:rsidRDefault="001941FA">
      <w:pPr>
        <w:pStyle w:val="Bodytext20"/>
        <w:shd w:val="clear" w:color="auto" w:fill="auto"/>
        <w:spacing w:before="0" w:after="180" w:line="574" w:lineRule="exact"/>
        <w:ind w:left="440" w:firstLine="400"/>
        <w:jc w:val="both"/>
      </w:pPr>
      <w:r>
        <w:t>Berangkat dari latar belakang di atas maka penulis merumuskan masalah yang dibahas dan diteliti dalam karya tulis ini adalah bagaimana pandangan Gereja Toraja Jemaat Sangpolo Bungin me</w:t>
      </w:r>
      <w:r>
        <w:t>ngenai makna Salib dalam kaitannya dengan kemiskinan.</w:t>
      </w:r>
    </w:p>
    <w:p w:rsidR="00C7134B" w:rsidRDefault="001941FA">
      <w:pPr>
        <w:pStyle w:val="Bodytext20"/>
        <w:numPr>
          <w:ilvl w:val="0"/>
          <w:numId w:val="1"/>
        </w:numPr>
        <w:shd w:val="clear" w:color="auto" w:fill="auto"/>
        <w:tabs>
          <w:tab w:val="left" w:pos="392"/>
        </w:tabs>
        <w:spacing w:before="0" w:line="574" w:lineRule="exact"/>
        <w:jc w:val="both"/>
      </w:pPr>
      <w:r>
        <w:t>TUJUAN PENULISAN</w:t>
      </w:r>
    </w:p>
    <w:p w:rsidR="00C7134B" w:rsidRDefault="001941FA">
      <w:pPr>
        <w:pStyle w:val="Bodytext20"/>
        <w:shd w:val="clear" w:color="auto" w:fill="auto"/>
        <w:spacing w:before="0" w:line="574" w:lineRule="exact"/>
        <w:ind w:left="440" w:firstLine="400"/>
        <w:jc w:val="both"/>
      </w:pPr>
      <w:r>
        <w:t>Dari rumusan masalah di atas maka penulisan ini bertujuan untuk mendeskripsikan pandangan Gereja Toraja, Jemaat Sangpolo Bungin tentang makna Salib dalam kaitannya dengan kemiskinan.</w:t>
      </w:r>
    </w:p>
    <w:p w:rsidR="00C7134B" w:rsidRDefault="001941FA">
      <w:pPr>
        <w:pStyle w:val="Bodytext20"/>
        <w:numPr>
          <w:ilvl w:val="0"/>
          <w:numId w:val="1"/>
        </w:numPr>
        <w:shd w:val="clear" w:color="auto" w:fill="auto"/>
        <w:tabs>
          <w:tab w:val="left" w:pos="392"/>
        </w:tabs>
        <w:spacing w:before="0" w:after="176" w:line="574" w:lineRule="exact"/>
        <w:jc w:val="both"/>
      </w:pPr>
      <w:r>
        <w:t>BATASAN MASALAH</w:t>
      </w:r>
    </w:p>
    <w:p w:rsidR="00C7134B" w:rsidRDefault="001941FA">
      <w:pPr>
        <w:pStyle w:val="Bodytext20"/>
        <w:shd w:val="clear" w:color="auto" w:fill="auto"/>
        <w:spacing w:before="0" w:after="180"/>
        <w:ind w:left="440" w:firstLine="400"/>
        <w:jc w:val="both"/>
      </w:pPr>
      <w:r>
        <w:t>Untuk menghindari luasnya kajian penulisan ini maka di pandang perlu menggunakan batasan. Adapun batasan masalah dalam penulisan ini diarahkan pada makna salib dalam kaitannya dengan kemiskinan di Gereja Toraja Jemaat Sangpolo Bungin, Klasi</w:t>
      </w:r>
      <w:r>
        <w:t>s Nonongan Salu.</w:t>
      </w:r>
    </w:p>
    <w:p w:rsidR="00C7134B" w:rsidRDefault="001941FA">
      <w:pPr>
        <w:pStyle w:val="Bodytext20"/>
        <w:numPr>
          <w:ilvl w:val="0"/>
          <w:numId w:val="1"/>
        </w:numPr>
        <w:shd w:val="clear" w:color="auto" w:fill="auto"/>
        <w:tabs>
          <w:tab w:val="left" w:pos="408"/>
        </w:tabs>
        <w:spacing w:before="0"/>
        <w:jc w:val="both"/>
      </w:pPr>
      <w:r>
        <w:t>METODE PENELITIAN</w:t>
      </w:r>
    </w:p>
    <w:p w:rsidR="00C7134B" w:rsidRDefault="001941FA">
      <w:pPr>
        <w:pStyle w:val="Bodytext20"/>
        <w:shd w:val="clear" w:color="auto" w:fill="auto"/>
        <w:spacing w:before="0" w:after="180"/>
        <w:ind w:left="420" w:firstLine="280"/>
        <w:jc w:val="both"/>
      </w:pPr>
      <w:r>
        <w:t xml:space="preserve">Adapun metode yang akan digunakan dalam penulisan ini adalah metode kualitatif </w:t>
      </w:r>
      <w:r>
        <w:lastRenderedPageBreak/>
        <w:t>dengan pendekatan penelitian lapangan berupa observasi dan wawancara yang didukung oleh tulisan-tulisan atau buku sumber yang memiliki keterka</w:t>
      </w:r>
      <w:r>
        <w:t>itan dengan penelitian ini (kepustakaan)</w:t>
      </w:r>
    </w:p>
    <w:p w:rsidR="00C7134B" w:rsidRDefault="001941FA">
      <w:pPr>
        <w:pStyle w:val="Bodytext20"/>
        <w:numPr>
          <w:ilvl w:val="0"/>
          <w:numId w:val="1"/>
        </w:numPr>
        <w:shd w:val="clear" w:color="auto" w:fill="auto"/>
        <w:tabs>
          <w:tab w:val="left" w:pos="408"/>
        </w:tabs>
        <w:spacing w:before="0"/>
        <w:jc w:val="both"/>
      </w:pPr>
      <w:r>
        <w:t>MANFAAT PENULISAN</w:t>
      </w:r>
    </w:p>
    <w:p w:rsidR="00C7134B" w:rsidRDefault="001941FA">
      <w:pPr>
        <w:pStyle w:val="Bodytext40"/>
        <w:numPr>
          <w:ilvl w:val="0"/>
          <w:numId w:val="2"/>
        </w:numPr>
        <w:shd w:val="clear" w:color="auto" w:fill="auto"/>
        <w:tabs>
          <w:tab w:val="left" w:pos="718"/>
        </w:tabs>
        <w:ind w:left="420"/>
      </w:pPr>
      <w:r>
        <w:t>Manfaat Akademik</w:t>
      </w:r>
    </w:p>
    <w:p w:rsidR="00C7134B" w:rsidRDefault="001941FA">
      <w:pPr>
        <w:pStyle w:val="Bodytext20"/>
        <w:shd w:val="clear" w:color="auto" w:fill="auto"/>
        <w:spacing w:before="0"/>
        <w:ind w:left="700" w:firstLine="300"/>
        <w:jc w:val="both"/>
      </w:pPr>
      <w:r>
        <w:t>Tulisan ini diharapkan dapat memberikan sumbangsi pemikiran dan pengembangan ilmu teologi di STAKN Toraja pada masa mendatang, khususnya dalam makna Salib dalam kaitannya dengan ke</w:t>
      </w:r>
      <w:r>
        <w:t>miskinan.</w:t>
      </w:r>
    </w:p>
    <w:p w:rsidR="00C7134B" w:rsidRDefault="001941FA">
      <w:pPr>
        <w:pStyle w:val="Bodytext40"/>
        <w:numPr>
          <w:ilvl w:val="0"/>
          <w:numId w:val="2"/>
        </w:numPr>
        <w:shd w:val="clear" w:color="auto" w:fill="auto"/>
        <w:tabs>
          <w:tab w:val="left" w:pos="729"/>
        </w:tabs>
        <w:ind w:left="420"/>
      </w:pPr>
      <w:r>
        <w:t>Manfaat Praktis</w:t>
      </w:r>
    </w:p>
    <w:p w:rsidR="00C7134B" w:rsidRDefault="001941FA">
      <w:pPr>
        <w:pStyle w:val="Bodytext20"/>
        <w:shd w:val="clear" w:color="auto" w:fill="auto"/>
        <w:spacing w:before="0"/>
        <w:ind w:left="700" w:firstLine="300"/>
        <w:jc w:val="both"/>
      </w:pPr>
      <w:r>
        <w:t xml:space="preserve">Tulisan ini diharapkan dapat memberikan kontribusi pemikiran bagi Gereja Toraja khsususnya Jemaat Sangpolo Bungin Klasis Nonongan Salu serta menjadi bekal pengetahuan penulis pada masa mendatang untuk mengaplikasikan ilmu teologi </w:t>
      </w:r>
      <w:r>
        <w:t>yang telah penulis peroleh dalam bangku akademik untuk diaplikasikan lebih lanjut di tengah masyarakat dan Gereja. Terkhusus untuk Gereja yang tengah bergumul atas pelayanannya dan pemaknaan Salib maka tulisan ini diharapkan mampu memberikan kontribusi pem</w:t>
      </w:r>
      <w:r>
        <w:t>ikiran teologi bagi Gereja dan kekristenan masa mendatang.</w:t>
      </w:r>
    </w:p>
    <w:p w:rsidR="00C7134B" w:rsidRDefault="001941FA">
      <w:pPr>
        <w:pStyle w:val="Bodytext20"/>
        <w:numPr>
          <w:ilvl w:val="0"/>
          <w:numId w:val="1"/>
        </w:numPr>
        <w:shd w:val="clear" w:color="auto" w:fill="auto"/>
        <w:tabs>
          <w:tab w:val="left" w:pos="448"/>
        </w:tabs>
        <w:spacing w:before="0" w:after="40" w:line="260" w:lineRule="exact"/>
        <w:jc w:val="both"/>
      </w:pPr>
      <w:r>
        <w:t>SISTEMATIKA PENULISAN</w:t>
      </w:r>
    </w:p>
    <w:p w:rsidR="00C7134B" w:rsidRDefault="001941FA">
      <w:pPr>
        <w:pStyle w:val="Bodytext20"/>
        <w:shd w:val="clear" w:color="auto" w:fill="auto"/>
        <w:spacing w:before="0" w:line="568" w:lineRule="exact"/>
        <w:ind w:left="400" w:firstLine="420"/>
      </w:pPr>
      <w:r>
        <w:t>Berdasarkan pada pokok masalah yang dikaji dan dirumuskan di atas maka sistematika penulisan ini disusun sebagai berikut: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51"/>
        <w:gridCol w:w="7307"/>
      </w:tblGrid>
      <w:tr w:rsidR="00C7134B">
        <w:tblPrEx>
          <w:tblCellMar>
            <w:top w:w="0" w:type="dxa"/>
            <w:bottom w:w="0" w:type="dxa"/>
          </w:tblCellMar>
        </w:tblPrEx>
        <w:trPr>
          <w:trHeight w:hRule="exact" w:val="1575"/>
          <w:jc w:val="center"/>
        </w:trPr>
        <w:tc>
          <w:tcPr>
            <w:tcW w:w="1451" w:type="dxa"/>
            <w:shd w:val="clear" w:color="auto" w:fill="FFFFFF"/>
          </w:tcPr>
          <w:p w:rsidR="00C7134B" w:rsidRDefault="001941FA">
            <w:pPr>
              <w:pStyle w:val="Bodytext20"/>
              <w:framePr w:w="8758" w:wrap="notBeside" w:vAnchor="text" w:hAnchor="text" w:xAlign="center" w:y="1"/>
              <w:shd w:val="clear" w:color="auto" w:fill="auto"/>
              <w:spacing w:before="0" w:line="260" w:lineRule="exact"/>
              <w:ind w:right="300"/>
              <w:jc w:val="right"/>
            </w:pPr>
            <w:r>
              <w:rPr>
                <w:rStyle w:val="Bodytext21"/>
              </w:rPr>
              <w:lastRenderedPageBreak/>
              <w:t>BABI</w:t>
            </w:r>
          </w:p>
        </w:tc>
        <w:tc>
          <w:tcPr>
            <w:tcW w:w="7307" w:type="dxa"/>
            <w:shd w:val="clear" w:color="auto" w:fill="FFFFFF"/>
          </w:tcPr>
          <w:p w:rsidR="00C7134B" w:rsidRDefault="001941FA">
            <w:pPr>
              <w:pStyle w:val="Bodytext20"/>
              <w:framePr w:w="8758" w:wrap="notBeside" w:vAnchor="text" w:hAnchor="text" w:xAlign="center" w:y="1"/>
              <w:shd w:val="clear" w:color="auto" w:fill="auto"/>
              <w:spacing w:before="0" w:line="574" w:lineRule="exact"/>
              <w:ind w:hanging="300"/>
              <w:jc w:val="both"/>
            </w:pPr>
            <w:r>
              <w:rPr>
                <w:rStyle w:val="Bodytext21"/>
              </w:rPr>
              <w:t xml:space="preserve">: PENDAHULUAN. Menguraikan, latar belakang, </w:t>
            </w:r>
            <w:r>
              <w:rPr>
                <w:rStyle w:val="Bodytext21"/>
              </w:rPr>
              <w:t>rumusan masalah, tujuan penulisan, batasan masalah, manfaat penulisan, metode penelitian serta sistematika penulisan.</w:t>
            </w:r>
          </w:p>
        </w:tc>
      </w:tr>
      <w:tr w:rsidR="00C7134B">
        <w:tblPrEx>
          <w:tblCellMar>
            <w:top w:w="0" w:type="dxa"/>
            <w:bottom w:w="0" w:type="dxa"/>
          </w:tblCellMar>
        </w:tblPrEx>
        <w:trPr>
          <w:trHeight w:hRule="exact" w:val="3454"/>
          <w:jc w:val="center"/>
        </w:trPr>
        <w:tc>
          <w:tcPr>
            <w:tcW w:w="1451" w:type="dxa"/>
            <w:shd w:val="clear" w:color="auto" w:fill="FFFFFF"/>
          </w:tcPr>
          <w:p w:rsidR="00C7134B" w:rsidRPr="0099052F" w:rsidRDefault="001941FA">
            <w:pPr>
              <w:pStyle w:val="Bodytext20"/>
              <w:framePr w:w="8758" w:wrap="notBeside" w:vAnchor="text" w:hAnchor="text" w:xAlign="center" w:y="1"/>
              <w:shd w:val="clear" w:color="auto" w:fill="auto"/>
              <w:spacing w:before="0" w:line="340" w:lineRule="exact"/>
              <w:ind w:right="300"/>
              <w:jc w:val="right"/>
            </w:pPr>
            <w:r w:rsidRPr="0099052F">
              <w:rPr>
                <w:rStyle w:val="Bodytext2SmallCaps"/>
              </w:rPr>
              <w:t>bab</w:t>
            </w:r>
            <w:bookmarkStart w:id="2" w:name="_GoBack"/>
            <w:bookmarkEnd w:id="2"/>
            <w:r w:rsidRPr="0099052F">
              <w:rPr>
                <w:rStyle w:val="Bodytext2SmallCaps"/>
              </w:rPr>
              <w:t xml:space="preserve"> </w:t>
            </w:r>
            <w:r w:rsidR="0099052F" w:rsidRPr="0099052F">
              <w:rPr>
                <w:rStyle w:val="Bodytext217pt"/>
                <w:sz w:val="26"/>
                <w:szCs w:val="26"/>
              </w:rPr>
              <w:t>II</w:t>
            </w:r>
          </w:p>
        </w:tc>
        <w:tc>
          <w:tcPr>
            <w:tcW w:w="7307" w:type="dxa"/>
            <w:shd w:val="clear" w:color="auto" w:fill="FFFFFF"/>
            <w:vAlign w:val="center"/>
          </w:tcPr>
          <w:p w:rsidR="00C7134B" w:rsidRDefault="001941FA">
            <w:pPr>
              <w:pStyle w:val="Bodytext20"/>
              <w:framePr w:w="8758" w:wrap="notBeside" w:vAnchor="text" w:hAnchor="text" w:xAlign="center" w:y="1"/>
              <w:shd w:val="clear" w:color="auto" w:fill="auto"/>
              <w:spacing w:before="0" w:line="574" w:lineRule="exact"/>
              <w:ind w:hanging="300"/>
              <w:jc w:val="both"/>
            </w:pPr>
            <w:r>
              <w:rPr>
                <w:rStyle w:val="Bodytext21"/>
              </w:rPr>
              <w:t xml:space="preserve">: SALIB DAN KEMISKINAN. Menguraikan, kajian mengenai Salib, bentuk dan maknanya, makna Salib Kristus bagi iman Kristen, arti dan </w:t>
            </w:r>
            <w:r>
              <w:rPr>
                <w:rStyle w:val="Bodytext21"/>
              </w:rPr>
              <w:t>makna salib Kristus, pandangan Teolog mengenai Salib dalam kaitannya dengan penderitaan dan kemiskinan, kemiskinan dan akar-akar kemiskinan, pandangan Gereja mengenai kemiskinan, hubungan Salib dan kemiskinan</w:t>
            </w:r>
          </w:p>
        </w:tc>
      </w:tr>
      <w:tr w:rsidR="00C7134B">
        <w:tblPrEx>
          <w:tblCellMar>
            <w:top w:w="0" w:type="dxa"/>
            <w:bottom w:w="0" w:type="dxa"/>
          </w:tblCellMar>
        </w:tblPrEx>
        <w:trPr>
          <w:trHeight w:hRule="exact" w:val="2301"/>
          <w:jc w:val="center"/>
        </w:trPr>
        <w:tc>
          <w:tcPr>
            <w:tcW w:w="1451" w:type="dxa"/>
            <w:shd w:val="clear" w:color="auto" w:fill="FFFFFF"/>
          </w:tcPr>
          <w:p w:rsidR="00C7134B" w:rsidRDefault="001941FA">
            <w:pPr>
              <w:pStyle w:val="Bodytext20"/>
              <w:framePr w:w="8758" w:wrap="notBeside" w:vAnchor="text" w:hAnchor="text" w:xAlign="center" w:y="1"/>
              <w:shd w:val="clear" w:color="auto" w:fill="auto"/>
              <w:spacing w:before="0" w:line="260" w:lineRule="exact"/>
              <w:ind w:right="180"/>
              <w:jc w:val="right"/>
            </w:pPr>
            <w:r>
              <w:rPr>
                <w:rStyle w:val="Bodytext21"/>
              </w:rPr>
              <w:t>BAB III</w:t>
            </w:r>
          </w:p>
        </w:tc>
        <w:tc>
          <w:tcPr>
            <w:tcW w:w="7307" w:type="dxa"/>
            <w:shd w:val="clear" w:color="auto" w:fill="FFFFFF"/>
            <w:vAlign w:val="center"/>
          </w:tcPr>
          <w:p w:rsidR="00C7134B" w:rsidRDefault="001941FA">
            <w:pPr>
              <w:pStyle w:val="Bodytext20"/>
              <w:framePr w:w="8758" w:wrap="notBeside" w:vAnchor="text" w:hAnchor="text" w:xAlign="center" w:y="1"/>
              <w:shd w:val="clear" w:color="auto" w:fill="auto"/>
              <w:spacing w:before="0" w:line="574" w:lineRule="exact"/>
              <w:ind w:hanging="300"/>
              <w:jc w:val="both"/>
            </w:pPr>
            <w:r>
              <w:rPr>
                <w:rStyle w:val="Bodytext21"/>
              </w:rPr>
              <w:t xml:space="preserve">: METODOLOGI PENELITIAN. Menguraikan, </w:t>
            </w:r>
            <w:r>
              <w:rPr>
                <w:rStyle w:val="Bodytext21"/>
              </w:rPr>
              <w:t>metodologi penelitian yang akan dipakai oleh penulis dalam penulisan ini yaitu metode penelitian kualitatif dengan pendekatan penelitian lapangan berupa observasi dan wawancara.</w:t>
            </w:r>
          </w:p>
        </w:tc>
      </w:tr>
      <w:tr w:rsidR="00C7134B">
        <w:tblPrEx>
          <w:tblCellMar>
            <w:top w:w="0" w:type="dxa"/>
            <w:bottom w:w="0" w:type="dxa"/>
          </w:tblCellMar>
        </w:tblPrEx>
        <w:trPr>
          <w:trHeight w:hRule="exact" w:val="2751"/>
          <w:jc w:val="center"/>
        </w:trPr>
        <w:tc>
          <w:tcPr>
            <w:tcW w:w="1451" w:type="dxa"/>
            <w:shd w:val="clear" w:color="auto" w:fill="FFFFFF"/>
          </w:tcPr>
          <w:p w:rsidR="00C7134B" w:rsidRDefault="001941FA">
            <w:pPr>
              <w:pStyle w:val="Bodytext20"/>
              <w:framePr w:w="8758" w:wrap="notBeside" w:vAnchor="text" w:hAnchor="text" w:xAlign="center" w:y="1"/>
              <w:shd w:val="clear" w:color="auto" w:fill="auto"/>
              <w:spacing w:before="0" w:line="260" w:lineRule="exact"/>
              <w:ind w:right="180"/>
              <w:jc w:val="right"/>
            </w:pPr>
            <w:r>
              <w:rPr>
                <w:rStyle w:val="Bodytext21"/>
              </w:rPr>
              <w:t>BAB IV</w:t>
            </w:r>
          </w:p>
        </w:tc>
        <w:tc>
          <w:tcPr>
            <w:tcW w:w="7307" w:type="dxa"/>
            <w:shd w:val="clear" w:color="auto" w:fill="FFFFFF"/>
            <w:vAlign w:val="bottom"/>
          </w:tcPr>
          <w:p w:rsidR="00C7134B" w:rsidRDefault="001941FA">
            <w:pPr>
              <w:pStyle w:val="Bodytext20"/>
              <w:framePr w:w="8758" w:wrap="notBeside" w:vAnchor="text" w:hAnchor="text" w:xAlign="center" w:y="1"/>
              <w:shd w:val="clear" w:color="auto" w:fill="auto"/>
              <w:spacing w:before="0" w:line="574" w:lineRule="exact"/>
              <w:ind w:hanging="300"/>
              <w:jc w:val="both"/>
            </w:pPr>
            <w:r>
              <w:rPr>
                <w:rStyle w:val="Bodytext21"/>
              </w:rPr>
              <w:t xml:space="preserve">: PEMAPARAN HASIL PENELITIAN. Menguraikan, gambaran umum lokasi </w:t>
            </w:r>
            <w:r>
              <w:rPr>
                <w:rStyle w:val="Bodytext21"/>
              </w:rPr>
              <w:t>penelitian, hasil penelitian wawancara yang diperoleh penulis di lapangan, analisis hasil penelitian serta refleksi teologis tentang Salib dalam kaitannya dengan kemiskinan di Gereja Toraja, Jemaat Sangpolo Bungin, Klasis</w:t>
            </w:r>
          </w:p>
        </w:tc>
      </w:tr>
    </w:tbl>
    <w:p w:rsidR="00C7134B" w:rsidRDefault="00C7134B">
      <w:pPr>
        <w:framePr w:w="8758" w:wrap="notBeside" w:vAnchor="text" w:hAnchor="text" w:xAlign="center" w:y="1"/>
        <w:rPr>
          <w:sz w:val="2"/>
          <w:szCs w:val="2"/>
        </w:rPr>
      </w:pPr>
    </w:p>
    <w:p w:rsidR="00C7134B" w:rsidRDefault="00C7134B">
      <w:pPr>
        <w:rPr>
          <w:sz w:val="2"/>
          <w:szCs w:val="2"/>
        </w:rPr>
        <w:sectPr w:rsidR="00C7134B">
          <w:footerReference w:type="default" r:id="rId8"/>
          <w:footerReference w:type="first" r:id="rId9"/>
          <w:pgSz w:w="11900" w:h="16840"/>
          <w:pgMar w:top="2648" w:right="1638" w:bottom="1317" w:left="751" w:header="0" w:footer="3" w:gutter="0"/>
          <w:cols w:space="720"/>
          <w:noEndnote/>
          <w:titlePg/>
          <w:docGrid w:linePitch="360"/>
        </w:sectPr>
      </w:pPr>
    </w:p>
    <w:p w:rsidR="00C7134B" w:rsidRDefault="001941FA">
      <w:pPr>
        <w:pStyle w:val="Bodytext20"/>
        <w:shd w:val="clear" w:color="auto" w:fill="auto"/>
        <w:spacing w:before="0" w:after="280" w:line="260" w:lineRule="exact"/>
        <w:ind w:left="2080"/>
      </w:pPr>
      <w:r>
        <w:rPr>
          <w:lang w:val="en-US" w:eastAsia="en-US" w:bidi="en-US"/>
        </w:rPr>
        <w:lastRenderedPageBreak/>
        <w:t>Nonongan Salu</w:t>
      </w:r>
    </w:p>
    <w:p w:rsidR="00C7134B" w:rsidRDefault="001941FA">
      <w:pPr>
        <w:pStyle w:val="Bodytext20"/>
        <w:shd w:val="clear" w:color="auto" w:fill="auto"/>
        <w:spacing w:before="0" w:line="260" w:lineRule="exact"/>
        <w:ind w:left="560"/>
      </w:pPr>
      <w:r>
        <w:rPr>
          <w:lang w:val="en-US" w:eastAsia="en-US" w:bidi="en-US"/>
        </w:rPr>
        <w:t xml:space="preserve">BAB V : </w:t>
      </w:r>
      <w:r>
        <w:t xml:space="preserve">PENUTUP. Menguraikan, kesimpulan </w:t>
      </w:r>
      <w:r>
        <w:rPr>
          <w:lang w:val="en-US" w:eastAsia="en-US" w:bidi="en-US"/>
        </w:rPr>
        <w:t xml:space="preserve">dan </w:t>
      </w:r>
      <w:r>
        <w:t>saran penulis</w:t>
      </w:r>
    </w:p>
    <w:sectPr w:rsidR="00C7134B">
      <w:footerReference w:type="default" r:id="rId10"/>
      <w:footerReference w:type="first" r:id="rId11"/>
      <w:pgSz w:w="11900" w:h="16840"/>
      <w:pgMar w:top="2648" w:right="1638" w:bottom="1317" w:left="7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FA" w:rsidRDefault="001941FA">
      <w:r>
        <w:separator/>
      </w:r>
    </w:p>
  </w:endnote>
  <w:endnote w:type="continuationSeparator" w:id="0">
    <w:p w:rsidR="001941FA" w:rsidRDefault="0019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4B" w:rsidRDefault="001941FA">
    <w:pPr>
      <w:rPr>
        <w:sz w:val="2"/>
        <w:szCs w:val="2"/>
      </w:rPr>
    </w:pPr>
    <w:r>
      <w:pict>
        <v:shapetype id="_x0000_t202" coordsize="21600,21600" o:spt="202" path="m,l,21600r21600,l21600,xe">
          <v:stroke joinstyle="miter"/>
          <v:path gradientshapeok="t" o:connecttype="rect"/>
        </v:shapetype>
        <v:shape id="_x0000_s2050" type="#_x0000_t202" style="position:absolute;margin-left:271.8pt;margin-top:787.6pt;width:2.55pt;height:8.7pt;z-index:-188744064;mso-wrap-style:none;mso-wrap-distance-left:5pt;mso-wrap-distance-right:5pt;mso-position-horizontal-relative:page;mso-position-vertical-relative:page" wrapcoords="0 0" filled="f" stroked="f">
          <v:textbox style="mso-fit-shape-to-text:t" inset="0,0,0,0">
            <w:txbxContent>
              <w:p w:rsidR="00C7134B" w:rsidRDefault="001941FA">
                <w:pPr>
                  <w:pStyle w:val="Headerorfooter0"/>
                  <w:shd w:val="clear" w:color="auto" w:fill="auto"/>
                  <w:spacing w:line="240" w:lineRule="auto"/>
                </w:pPr>
                <w:r>
                  <w:fldChar w:fldCharType="begin"/>
                </w:r>
                <w:r>
                  <w:instrText xml:space="preserve"> PAGE \* MERGEFORMAT </w:instrText>
                </w:r>
                <w:r>
                  <w:fldChar w:fldCharType="separate"/>
                </w:r>
                <w:r w:rsidR="0099052F" w:rsidRPr="0099052F">
                  <w:rPr>
                    <w:rStyle w:val="Headerorfooter1"/>
                    <w:b/>
                    <w:bCs/>
                    <w:noProof/>
                  </w:rPr>
                  <w:t>2</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4B" w:rsidRDefault="001941FA">
    <w:pPr>
      <w:rPr>
        <w:sz w:val="2"/>
        <w:szCs w:val="2"/>
      </w:rPr>
    </w:pPr>
    <w:r>
      <w:pict>
        <v:shapetype id="_x0000_t202" coordsize="21600,21600" o:spt="202" path="m,l,21600r21600,l21600,xe">
          <v:stroke joinstyle="miter"/>
          <v:path gradientshapeok="t" o:connecttype="rect"/>
        </v:shapetype>
        <v:shape id="_x0000_s2051" type="#_x0000_t202" style="position:absolute;margin-left:271.8pt;margin-top:787.6pt;width:2.55pt;height:8.7pt;z-index:-188744063;mso-wrap-style:none;mso-wrap-distance-left:5pt;mso-wrap-distance-right:5pt;mso-position-horizontal-relative:page;mso-position-vertical-relative:page" wrapcoords="0 0" filled="f" stroked="f">
          <v:textbox style="mso-fit-shape-to-text:t" inset="0,0,0,0">
            <w:txbxContent>
              <w:p w:rsidR="00C7134B" w:rsidRDefault="001941FA">
                <w:pPr>
                  <w:pStyle w:val="Headerorfooter0"/>
                  <w:shd w:val="clear" w:color="auto" w:fill="auto"/>
                  <w:spacing w:line="240" w:lineRule="auto"/>
                </w:pPr>
                <w:r>
                  <w:fldChar w:fldCharType="begin"/>
                </w:r>
                <w:r>
                  <w:instrText xml:space="preserve"> PAGE \* MERGEFORMAT </w:instrText>
                </w:r>
                <w:r>
                  <w:fldChar w:fldCharType="separate"/>
                </w:r>
                <w:r w:rsidR="0099052F" w:rsidRPr="0099052F">
                  <w:rPr>
                    <w:rStyle w:val="Headerorfooter1"/>
                    <w:b/>
                    <w:bCs/>
                    <w:noProof/>
                  </w:rPr>
                  <w:t>8</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4B" w:rsidRDefault="001941FA">
    <w:pPr>
      <w:rPr>
        <w:sz w:val="2"/>
        <w:szCs w:val="2"/>
      </w:rPr>
    </w:pPr>
    <w:r>
      <w:pict>
        <v:shapetype id="_x0000_t202" coordsize="21600,21600" o:spt="202" path="m,l,21600r21600,l21600,xe">
          <v:stroke joinstyle="miter"/>
          <v:path gradientshapeok="t" o:connecttype="rect"/>
        </v:shapetype>
        <v:shape id="_x0000_s2052" type="#_x0000_t202" style="position:absolute;margin-left:269pt;margin-top:799.95pt;width:5.65pt;height:9pt;z-index:-188744062;mso-wrap-style:none;mso-wrap-distance-left:5pt;mso-wrap-distance-right:5pt;mso-position-horizontal-relative:page;mso-position-vertical-relative:page" wrapcoords="0 0" filled="f" stroked="f">
          <v:textbox style="mso-fit-shape-to-text:t" inset="0,0,0,0">
            <w:txbxContent>
              <w:p w:rsidR="00C7134B" w:rsidRDefault="001941FA">
                <w:pPr>
                  <w:pStyle w:val="Headerorfooter0"/>
                  <w:shd w:val="clear" w:color="auto" w:fill="auto"/>
                  <w:spacing w:line="240" w:lineRule="auto"/>
                </w:pPr>
                <w:r>
                  <w:fldChar w:fldCharType="begin"/>
                </w:r>
                <w:r>
                  <w:instrText xml:space="preserve"> PAGE \* MERGEFORMAT </w:instrText>
                </w:r>
                <w:r>
                  <w:fldChar w:fldCharType="separate"/>
                </w:r>
                <w:r w:rsidR="0099052F" w:rsidRPr="0099052F">
                  <w:rPr>
                    <w:rStyle w:val="Headerorfooter1"/>
                    <w:b/>
                    <w:bCs/>
                    <w:noProof/>
                  </w:rPr>
                  <w:t>3</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4B" w:rsidRDefault="001941FA">
    <w:pPr>
      <w:rPr>
        <w:sz w:val="2"/>
        <w:szCs w:val="2"/>
      </w:rPr>
    </w:pPr>
    <w:r>
      <w:pict>
        <v:shapetype id="_x0000_t202" coordsize="21600,21600" o:spt="202" path="m,l,21600r21600,l21600,xe">
          <v:stroke joinstyle="miter"/>
          <v:path gradientshapeok="t" o:connecttype="rect"/>
        </v:shapetype>
        <v:shape id="_x0000_s2053" type="#_x0000_t202" style="position:absolute;margin-left:257.05pt;margin-top:779.9pt;width:5.9pt;height:9pt;z-index:-188744061;mso-wrap-style:none;mso-wrap-distance-left:5pt;mso-wrap-distance-right:5pt;mso-position-horizontal-relative:page;mso-position-vertical-relative:page" wrapcoords="0 0" filled="f" stroked="f">
          <v:textbox style="mso-fit-shape-to-text:t" inset="0,0,0,0">
            <w:txbxContent>
              <w:p w:rsidR="00C7134B" w:rsidRDefault="001941FA">
                <w:pPr>
                  <w:pStyle w:val="Headerorfooter0"/>
                  <w:shd w:val="clear" w:color="auto" w:fill="auto"/>
                  <w:spacing w:line="240" w:lineRule="auto"/>
                </w:pPr>
                <w:r>
                  <w:fldChar w:fldCharType="begin"/>
                </w:r>
                <w:r>
                  <w:instrText xml:space="preserve"> PAGE \* MERGEFORMAT </w:instrText>
                </w:r>
                <w:r>
                  <w:fldChar w:fldCharType="separate"/>
                </w:r>
                <w:r w:rsidR="0099052F" w:rsidRPr="0099052F">
                  <w:rPr>
                    <w:rStyle w:val="Headerorfooter1"/>
                    <w:b/>
                    <w:bCs/>
                    <w:noProof/>
                  </w:rPr>
                  <w:t>9</w:t>
                </w:r>
                <w:r>
                  <w:rPr>
                    <w:rStyle w:val="Headerorfooter1"/>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4B" w:rsidRDefault="00C713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FA" w:rsidRDefault="001941FA">
      <w:r>
        <w:separator/>
      </w:r>
    </w:p>
  </w:footnote>
  <w:footnote w:type="continuationSeparator" w:id="0">
    <w:p w:rsidR="001941FA" w:rsidRDefault="001941FA">
      <w:r>
        <w:continuationSeparator/>
      </w:r>
    </w:p>
  </w:footnote>
  <w:footnote w:id="1">
    <w:p w:rsidR="00C7134B" w:rsidRDefault="001941FA">
      <w:pPr>
        <w:pStyle w:val="Footnote0"/>
        <w:shd w:val="clear" w:color="auto" w:fill="auto"/>
        <w:ind w:left="220" w:hanging="220"/>
      </w:pPr>
      <w:r>
        <w:rPr>
          <w:vertAlign w:val="superscript"/>
        </w:rPr>
        <w:footnoteRef/>
      </w:r>
      <w:r>
        <w:t xml:space="preserve"> Bnd. Bambang Subandrijo. dkk, </w:t>
      </w:r>
      <w:r>
        <w:rPr>
          <w:rStyle w:val="FootnoteItalic"/>
        </w:rPr>
        <w:t>Agama Dalam Praksis.</w:t>
      </w:r>
      <w:r>
        <w:t xml:space="preserve"> (Jakarta: BPK Gunung Mulia* 2003, cet-1), hal.3.</w:t>
      </w:r>
    </w:p>
  </w:footnote>
  <w:footnote w:id="2">
    <w:p w:rsidR="00C7134B" w:rsidRDefault="001941FA">
      <w:pPr>
        <w:pStyle w:val="Footnote20"/>
        <w:shd w:val="clear" w:color="auto" w:fill="auto"/>
        <w:tabs>
          <w:tab w:val="left" w:pos="124"/>
        </w:tabs>
      </w:pPr>
      <w:r>
        <w:rPr>
          <w:rStyle w:val="Footnote2NotBold"/>
          <w:vertAlign w:val="superscript"/>
        </w:rPr>
        <w:footnoteRef/>
      </w:r>
      <w:r>
        <w:rPr>
          <w:rStyle w:val="Footnote2NotBold"/>
        </w:rPr>
        <w:tab/>
      </w:r>
      <w:r>
        <w:t>lbid</w:t>
      </w:r>
    </w:p>
  </w:footnote>
  <w:footnote w:id="3">
    <w:p w:rsidR="00C7134B" w:rsidRDefault="001941FA">
      <w:pPr>
        <w:pStyle w:val="Footnote30"/>
        <w:shd w:val="clear" w:color="auto" w:fill="auto"/>
        <w:tabs>
          <w:tab w:val="left" w:pos="135"/>
        </w:tabs>
      </w:pPr>
      <w:r>
        <w:rPr>
          <w:rStyle w:val="Footnote3NotItalic"/>
          <w:vertAlign w:val="superscript"/>
        </w:rPr>
        <w:footnoteRef/>
      </w:r>
      <w:r>
        <w:rPr>
          <w:rStyle w:val="Footnote3NotItalic"/>
        </w:rPr>
        <w:tab/>
      </w:r>
      <w:r>
        <w:t>Ibid</w:t>
      </w:r>
    </w:p>
  </w:footnote>
  <w:footnote w:id="4">
    <w:p w:rsidR="00C7134B" w:rsidRDefault="001941FA">
      <w:pPr>
        <w:pStyle w:val="Footnote0"/>
        <w:shd w:val="clear" w:color="auto" w:fill="auto"/>
        <w:tabs>
          <w:tab w:val="left" w:pos="158"/>
        </w:tabs>
        <w:spacing w:line="242" w:lineRule="exact"/>
        <w:ind w:left="140" w:hanging="140"/>
      </w:pPr>
      <w:r>
        <w:rPr>
          <w:vertAlign w:val="superscript"/>
        </w:rPr>
        <w:footnoteRef/>
      </w:r>
      <w:r>
        <w:tab/>
      </w:r>
      <w:r>
        <w:rPr>
          <w:rStyle w:val="FootnoteItalic"/>
        </w:rPr>
        <w:t>Lihat selengkapnya,</w:t>
      </w:r>
      <w:r>
        <w:t xml:space="preserve"> F.W Dillistone, </w:t>
      </w:r>
      <w:r>
        <w:rPr>
          <w:rStyle w:val="FootnoteItalic"/>
        </w:rPr>
        <w:t xml:space="preserve">Daya Kekuatan Simbol: The Power </w:t>
      </w:r>
      <w:r>
        <w:rPr>
          <w:rStyle w:val="FootnoteItalic"/>
          <w:lang w:val="en-US" w:eastAsia="en-US" w:bidi="en-US"/>
        </w:rPr>
        <w:t xml:space="preserve">Of </w:t>
      </w:r>
      <w:r>
        <w:rPr>
          <w:rStyle w:val="FootnoteItalic"/>
        </w:rPr>
        <w:t>SyimboL</w:t>
      </w:r>
      <w:r>
        <w:t xml:space="preserve"> (Yogyakarta: Kanisius 2006, cet-5), hal. 127. Bnd. Bambang Subandrijo. dkk, </w:t>
      </w:r>
      <w:r>
        <w:rPr>
          <w:rStyle w:val="FootnoteItalic"/>
        </w:rPr>
        <w:t>Agama Dalam Praksis.Op.Cit,</w:t>
      </w:r>
      <w:r>
        <w:t xml:space="preserve"> hal. 2</w:t>
      </w:r>
    </w:p>
  </w:footnote>
  <w:footnote w:id="5">
    <w:p w:rsidR="00C7134B" w:rsidRDefault="001941FA">
      <w:pPr>
        <w:pStyle w:val="Footnote0"/>
        <w:shd w:val="clear" w:color="auto" w:fill="auto"/>
        <w:tabs>
          <w:tab w:val="left" w:pos="186"/>
        </w:tabs>
        <w:spacing w:line="242" w:lineRule="exact"/>
        <w:ind w:left="240"/>
        <w:jc w:val="both"/>
      </w:pPr>
      <w:r>
        <w:rPr>
          <w:vertAlign w:val="superscript"/>
        </w:rPr>
        <w:footnoteRef/>
      </w:r>
      <w:r>
        <w:tab/>
        <w:t xml:space="preserve">Dalam agama simbol dapat dikategorikan ke dalam dua bagian pokok yaitu simbol yang bersifat material </w:t>
      </w:r>
      <w:r>
        <w:rPr>
          <w:lang w:val="en-US" w:eastAsia="en-US" w:bidi="en-US"/>
        </w:rPr>
        <w:t xml:space="preserve">dan non </w:t>
      </w:r>
      <w:r>
        <w:t xml:space="preserve">material. Simbol material meliputi rumah ibadah, perangkat peri </w:t>
      </w:r>
      <w:r>
        <w:rPr>
          <w:lang w:val="en-US" w:eastAsia="en-US" w:bidi="en-US"/>
        </w:rPr>
        <w:t xml:space="preserve">bad </w:t>
      </w:r>
      <w:r>
        <w:t xml:space="preserve">ahan sedangkan simbol </w:t>
      </w:r>
      <w:r>
        <w:rPr>
          <w:lang w:val="en-US" w:eastAsia="en-US" w:bidi="en-US"/>
        </w:rPr>
        <w:t xml:space="preserve">non </w:t>
      </w:r>
      <w:r>
        <w:t>material berupa ibadah, ritus-ritus dan taia cara k</w:t>
      </w:r>
      <w:r>
        <w:t xml:space="preserve">eagamaan yang iain. </w:t>
      </w:r>
      <w:r>
        <w:rPr>
          <w:rStyle w:val="FootnoteItalic"/>
        </w:rPr>
        <w:t>Urun selengkapnya</w:t>
      </w:r>
      <w:r>
        <w:t xml:space="preserve">, Bambang Subandrijo. Dfck, </w:t>
      </w:r>
      <w:r>
        <w:rPr>
          <w:rStyle w:val="FootnoteItalic"/>
        </w:rPr>
        <w:t xml:space="preserve">Agama Dalam Praksis. </w:t>
      </w:r>
      <w:r>
        <w:rPr>
          <w:rStyle w:val="FootnoteItalic"/>
          <w:lang w:val="en-US" w:eastAsia="en-US" w:bidi="en-US"/>
        </w:rPr>
        <w:t>Ibid,</w:t>
      </w:r>
      <w:r>
        <w:rPr>
          <w:lang w:val="en-US" w:eastAsia="en-US" w:bidi="en-US"/>
        </w:rPr>
        <w:t xml:space="preserve"> </w:t>
      </w:r>
      <w:r>
        <w:t>ha1.4.</w:t>
      </w:r>
    </w:p>
  </w:footnote>
  <w:footnote w:id="6">
    <w:p w:rsidR="00C7134B" w:rsidRDefault="001941FA">
      <w:pPr>
        <w:pStyle w:val="Footnote0"/>
        <w:shd w:val="clear" w:color="auto" w:fill="auto"/>
        <w:tabs>
          <w:tab w:val="left" w:pos="381"/>
        </w:tabs>
        <w:spacing w:line="242" w:lineRule="exact"/>
        <w:ind w:left="240" w:firstLine="0"/>
        <w:jc w:val="both"/>
      </w:pPr>
      <w:r>
        <w:rPr>
          <w:vertAlign w:val="superscript"/>
        </w:rPr>
        <w:footnoteRef/>
      </w:r>
      <w:r>
        <w:tab/>
        <w:t xml:space="preserve">Bnd. G.C </w:t>
      </w:r>
      <w:r>
        <w:rPr>
          <w:lang w:val="en-US" w:eastAsia="en-US" w:bidi="en-US"/>
        </w:rPr>
        <w:t xml:space="preserve">van </w:t>
      </w:r>
      <w:r>
        <w:t xml:space="preserve">Nifttrik, B.J </w:t>
      </w:r>
      <w:r>
        <w:rPr>
          <w:lang w:val="en-US" w:eastAsia="en-US" w:bidi="en-US"/>
        </w:rPr>
        <w:t xml:space="preserve">Boland, </w:t>
      </w:r>
      <w:r>
        <w:rPr>
          <w:rStyle w:val="FootnoteItalic"/>
        </w:rPr>
        <w:t>Dogmatika Masa Kini.</w:t>
      </w:r>
      <w:r>
        <w:t xml:space="preserve"> (Jakarta: BPK Gunung Mulia, 1997, cet- 10), hal. 252-260</w:t>
      </w:r>
    </w:p>
  </w:footnote>
  <w:footnote w:id="7">
    <w:p w:rsidR="00C7134B" w:rsidRDefault="001941FA">
      <w:pPr>
        <w:pStyle w:val="Footnote0"/>
        <w:shd w:val="clear" w:color="auto" w:fill="auto"/>
        <w:spacing w:line="574" w:lineRule="exact"/>
        <w:ind w:left="200" w:firstLine="0"/>
      </w:pPr>
      <w:r>
        <w:rPr>
          <w:vertAlign w:val="superscript"/>
        </w:rPr>
        <w:footnoteRef/>
      </w:r>
      <w:r>
        <w:t xml:space="preserve"> Bnd.</w:t>
      </w:r>
      <w:r>
        <w:rPr>
          <w:lang w:val="en-US" w:eastAsia="en-US" w:bidi="en-US"/>
        </w:rPr>
        <w:t xml:space="preserve">Anton </w:t>
      </w:r>
      <w:r>
        <w:t xml:space="preserve">Wessels, </w:t>
      </w:r>
      <w:r>
        <w:rPr>
          <w:rStyle w:val="FootnoteItalic"/>
        </w:rPr>
        <w:t>Memandang Yesus.</w:t>
      </w:r>
      <w:r>
        <w:t xml:space="preserve"> (Jak</w:t>
      </w:r>
      <w:r>
        <w:t>arta: BPK Gunung Mulia, 1999, cet-2), hal. 143.</w:t>
      </w:r>
    </w:p>
  </w:footnote>
  <w:footnote w:id="8">
    <w:p w:rsidR="00C7134B" w:rsidRDefault="001941FA">
      <w:pPr>
        <w:pStyle w:val="Footnote0"/>
        <w:shd w:val="clear" w:color="auto" w:fill="auto"/>
        <w:spacing w:line="585" w:lineRule="exact"/>
        <w:ind w:firstLine="0"/>
      </w:pPr>
      <w:r>
        <w:rPr>
          <w:vertAlign w:val="superscript"/>
        </w:rPr>
        <w:footnoteRef/>
      </w:r>
      <w:r>
        <w:t xml:space="preserve"> </w:t>
      </w:r>
      <w:r>
        <w:rPr>
          <w:lang w:val="en-US" w:eastAsia="en-US" w:bidi="en-US"/>
        </w:rPr>
        <w:t xml:space="preserve">Christiaan </w:t>
      </w:r>
      <w:r>
        <w:t xml:space="preserve">De Jonge, </w:t>
      </w:r>
      <w:r>
        <w:rPr>
          <w:rStyle w:val="FootnoteItalic"/>
        </w:rPr>
        <w:t>Menuju Keesaan Gereja.</w:t>
      </w:r>
      <w:r>
        <w:t xml:space="preserve"> (Jakarta: BPK Gunung Mulia, 1996, cet.3), hal. 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250BA"/>
    <w:multiLevelType w:val="multilevel"/>
    <w:tmpl w:val="6C4C319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3664EC"/>
    <w:multiLevelType w:val="multilevel"/>
    <w:tmpl w:val="DBCA6EA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7134B"/>
    <w:rsid w:val="001941FA"/>
    <w:rsid w:val="0099052F"/>
    <w:rsid w:val="00C7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42DCAD0-5EDD-46E0-B7CE-A1993782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u w:val="none"/>
    </w:rPr>
  </w:style>
  <w:style w:type="character" w:customStyle="1" w:styleId="Footnote2NotBold">
    <w:name w:val="Footnote (2) + Not Bold"/>
    <w:aliases w:val="Not Italic"/>
    <w:basedOn w:val="Footnote2"/>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spacing w:val="0"/>
      <w:sz w:val="22"/>
      <w:szCs w:val="22"/>
      <w:u w:val="none"/>
      <w:lang w:val="en-US" w:eastAsia="en-US" w:bidi="en-US"/>
    </w:rPr>
  </w:style>
  <w:style w:type="character" w:customStyle="1" w:styleId="Footnote3NotItalic">
    <w:name w:val="Footnote (3) + Not Italic"/>
    <w:basedOn w:val="Footnote3"/>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0"/>
      <w:szCs w:val="30"/>
      <w:u w:val="none"/>
    </w:rPr>
  </w:style>
  <w:style w:type="character" w:customStyle="1" w:styleId="Heading1Spacing2pt">
    <w:name w:val="Heading #1 + Spacing 2 pt"/>
    <w:basedOn w:val="Heading1"/>
    <w:rPr>
      <w:rFonts w:ascii="Times New Roman" w:eastAsia="Times New Roman" w:hAnsi="Times New Roman" w:cs="Times New Roman"/>
      <w:b/>
      <w:bCs/>
      <w:i w:val="0"/>
      <w:iCs w:val="0"/>
      <w:smallCaps w:val="0"/>
      <w:strike w:val="0"/>
      <w:color w:val="000000"/>
      <w:spacing w:val="40"/>
      <w:w w:val="100"/>
      <w:position w:val="0"/>
      <w:sz w:val="30"/>
      <w:szCs w:val="30"/>
      <w:u w:val="none"/>
      <w:lang w:val="id-ID" w:eastAsia="id-ID" w:bidi="id-ID"/>
    </w:rPr>
  </w:style>
  <w:style w:type="character" w:customStyle="1" w:styleId="Headerorfooter">
    <w:name w:val="Header or footer_"/>
    <w:basedOn w:val="DefaultParagraphFont"/>
    <w:link w:val="Headerorfooter0"/>
    <w:rPr>
      <w:rFonts w:ascii="Lucida Sans Unicode" w:eastAsia="Lucida Sans Unicode" w:hAnsi="Lucida Sans Unicode" w:cs="Lucida Sans Unicode"/>
      <w:b/>
      <w:bCs/>
      <w:i w:val="0"/>
      <w:iCs w:val="0"/>
      <w:smallCaps w:val="0"/>
      <w:strike w:val="0"/>
      <w:sz w:val="18"/>
      <w:szCs w:val="18"/>
      <w:u w:val="none"/>
    </w:rPr>
  </w:style>
  <w:style w:type="character" w:customStyle="1" w:styleId="Headerorfooter1">
    <w:name w:val="Header or footer"/>
    <w:basedOn w:val="Headerorfooter"/>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6"/>
      <w:szCs w:val="26"/>
      <w:u w:val="none"/>
      <w:lang w:val="id-ID" w:eastAsia="id-ID" w:bidi="id-ID"/>
    </w:rPr>
  </w:style>
  <w:style w:type="character" w:customStyle="1" w:styleId="Bodytext217pt">
    <w:name w:val="Body text (2) + 17 pt"/>
    <w:aliases w:val="Bold"/>
    <w:basedOn w:val="Bodytext2"/>
    <w:rPr>
      <w:rFonts w:ascii="Times New Roman" w:eastAsia="Times New Roman" w:hAnsi="Times New Roman" w:cs="Times New Roman"/>
      <w:b/>
      <w:bCs/>
      <w:i w:val="0"/>
      <w:iCs w:val="0"/>
      <w:smallCaps w:val="0"/>
      <w:strike w:val="0"/>
      <w:color w:val="000000"/>
      <w:spacing w:val="0"/>
      <w:w w:val="100"/>
      <w:position w:val="0"/>
      <w:sz w:val="34"/>
      <w:szCs w:val="34"/>
      <w:u w:val="none"/>
      <w:lang w:val="id-ID" w:eastAsia="id-ID" w:bidi="id-ID"/>
    </w:rPr>
  </w:style>
  <w:style w:type="paragraph" w:customStyle="1" w:styleId="Footnote0">
    <w:name w:val="Footnote"/>
    <w:basedOn w:val="Normal"/>
    <w:link w:val="Footnote"/>
    <w:pPr>
      <w:shd w:val="clear" w:color="auto" w:fill="FFFFFF"/>
      <w:spacing w:line="236" w:lineRule="exact"/>
      <w:ind w:hanging="240"/>
    </w:pPr>
    <w:rPr>
      <w:rFonts w:ascii="Times New Roman" w:eastAsia="Times New Roman" w:hAnsi="Times New Roman" w:cs="Times New Roman"/>
      <w:sz w:val="22"/>
      <w:szCs w:val="22"/>
    </w:rPr>
  </w:style>
  <w:style w:type="paragraph" w:customStyle="1" w:styleId="Footnote20">
    <w:name w:val="Footnote (2)"/>
    <w:basedOn w:val="Normal"/>
    <w:link w:val="Footnote2"/>
    <w:pPr>
      <w:shd w:val="clear" w:color="auto" w:fill="FFFFFF"/>
      <w:spacing w:line="242" w:lineRule="exact"/>
      <w:jc w:val="both"/>
    </w:pPr>
    <w:rPr>
      <w:rFonts w:ascii="Times New Roman" w:eastAsia="Times New Roman" w:hAnsi="Times New Roman" w:cs="Times New Roman"/>
      <w:b/>
      <w:bCs/>
      <w:i/>
      <w:iCs/>
    </w:rPr>
  </w:style>
  <w:style w:type="paragraph" w:customStyle="1" w:styleId="Footnote30">
    <w:name w:val="Footnote (3)"/>
    <w:basedOn w:val="Normal"/>
    <w:link w:val="Footnote3"/>
    <w:pPr>
      <w:shd w:val="clear" w:color="auto" w:fill="FFFFFF"/>
      <w:spacing w:line="242" w:lineRule="exact"/>
      <w:jc w:val="both"/>
    </w:pPr>
    <w:rPr>
      <w:rFonts w:ascii="Times New Roman" w:eastAsia="Times New Roman" w:hAnsi="Times New Roman" w:cs="Times New Roman"/>
      <w:i/>
      <w:iCs/>
      <w:sz w:val="22"/>
      <w:szCs w:val="22"/>
      <w:lang w:val="en-US" w:eastAsia="en-US" w:bidi="en-US"/>
    </w:rPr>
  </w:style>
  <w:style w:type="paragraph" w:customStyle="1" w:styleId="Heading10">
    <w:name w:val="Heading #1"/>
    <w:basedOn w:val="Normal"/>
    <w:link w:val="Heading1"/>
    <w:pPr>
      <w:shd w:val="clear" w:color="auto" w:fill="FFFFFF"/>
      <w:spacing w:after="660" w:line="0" w:lineRule="atLeast"/>
      <w:jc w:val="center"/>
      <w:outlineLvl w:val="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Lucida Sans Unicode" w:eastAsia="Lucida Sans Unicode" w:hAnsi="Lucida Sans Unicode" w:cs="Lucida Sans Unicode"/>
      <w:b/>
      <w:bCs/>
      <w:sz w:val="18"/>
      <w:szCs w:val="18"/>
    </w:rPr>
  </w:style>
  <w:style w:type="paragraph" w:customStyle="1" w:styleId="Bodytext20">
    <w:name w:val="Body text (2)"/>
    <w:basedOn w:val="Normal"/>
    <w:link w:val="Bodytext2"/>
    <w:pPr>
      <w:shd w:val="clear" w:color="auto" w:fill="FFFFFF"/>
      <w:spacing w:before="420" w:line="579" w:lineRule="exac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0" w:lineRule="atLeast"/>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line="579" w:lineRule="exact"/>
      <w:jc w:val="both"/>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1587</Words>
  <Characters>9052</Characters>
  <Application>Microsoft Office Word</Application>
  <DocSecurity>0</DocSecurity>
  <Lines>75</Lines>
  <Paragraphs>21</Paragraphs>
  <ScaleCrop>false</ScaleCrop>
  <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2024-05-14T06:06:00Z</dcterms:created>
  <dcterms:modified xsi:type="dcterms:W3CDTF">2024-05-14T06:07:00Z</dcterms:modified>
</cp:coreProperties>
</file>