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07" w:line="260" w:lineRule="exact"/>
        <w:ind w:left="0" w:right="1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3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19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82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Lembaga Alkitab Indonesia,</w:t>
      </w:r>
      <w:r>
        <w:rPr>
          <w:rStyle w:val="CharStyle10"/>
          <w:i w:val="0"/>
          <w:iCs w:val="0"/>
        </w:rPr>
        <w:t xml:space="preserve"> (Jakarta: 2000)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82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Kamus Besar Bahasa Indonesia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Napel, Henk </w:t>
      </w:r>
      <w:r>
        <w:rPr>
          <w:rStyle w:val="CharStyle13"/>
        </w:rPr>
        <w:t>ten.</w:t>
      </w:r>
      <w:r>
        <w:rPr>
          <w:rStyle w:val="CharStyle13"/>
          <w:vertAlign w:val="superscript"/>
        </w:rPr>
        <w:t>1</w:t>
      </w:r>
      <w:r>
        <w:rPr>
          <w:rStyle w:val="CharStyle13"/>
        </w:rPr>
        <w:t>''Kamus Teo/ogi Inggris-Indonesia”.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Bpk Gunung Mulia, 2012).</w:t>
      </w:r>
    </w:p>
    <w:p>
      <w:pPr>
        <w:pStyle w:val="Style3"/>
        <w:numPr>
          <w:ilvl w:val="0"/>
          <w:numId w:val="1"/>
        </w:numPr>
        <w:tabs>
          <w:tab w:leader="none" w:pos="43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19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820"/>
      </w:pPr>
      <w:r>
        <w:rPr>
          <w:rStyle w:val="CharStyle10"/>
          <w:i w:val="0"/>
          <w:iCs w:val="0"/>
        </w:rPr>
        <w:t xml:space="preserve">Sainin, Weinata.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“Idenlitas &amp; Ciri Khas Pendidikan Kristen di Indonesia antara Konseptual dan Operasional".</w:t>
      </w:r>
      <w:r>
        <w:rPr>
          <w:rStyle w:val="CharStyle10"/>
          <w:i w:val="0"/>
          <w:iCs w:val="0"/>
        </w:rPr>
        <w:t xml:space="preserve"> (Jakarata: BPK Gunung Mulia, 2006).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Tacoy, Selvester M. </w:t>
      </w:r>
      <w:r>
        <w:rPr>
          <w:rStyle w:val="CharStyle13"/>
        </w:rPr>
        <w:t>‘6 Kunci Sukses Melayani Kaum Muda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(Jakarta : Yayasan Kalam Hidup, 2009).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Lawrence, Bill. </w:t>
      </w:r>
      <w:r>
        <w:rPr>
          <w:rStyle w:val="CharStyle13"/>
        </w:rPr>
        <w:t>‘Menggembalakan dengan Hati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''. (Yogyakarta: Andi Offset. 2004;, hal. 75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Woga, Edmund </w:t>
      </w:r>
      <w:r>
        <w:rPr>
          <w:rStyle w:val="CharStyle13"/>
        </w:rPr>
        <w:t>.“Dasar-dasar Misiologi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”. (Yogyakarta: Kanisius, 2002).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Schnabel, Echard J. </w:t>
      </w:r>
      <w:r>
        <w:rPr>
          <w:rStyle w:val="CharStyle13"/>
        </w:rPr>
        <w:t>“Rasul Paulus Sang Misionaris”.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(Yogyakarta: ANDI,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122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2010</w:t>
      </w:r>
      <w:r>
        <w:rPr>
          <w:rStyle w:val="CharStyle16"/>
          <w:b/>
          <w:bCs/>
        </w:rPr>
        <w:t>).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Wright, Christopher J. H. Ed. Lunde, Jonathan. “Ms/ </w:t>
      </w:r>
      <w:r>
        <w:rPr>
          <w:rStyle w:val="CharStyle13"/>
        </w:rPr>
        <w:t>Umat Allah”.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(PT. Suluh Cendikia, 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Bosch, David J. </w:t>
      </w:r>
      <w:r>
        <w:rPr>
          <w:rStyle w:val="CharStyle13"/>
        </w:rPr>
        <w:t>“TransfonnasiMisiKristen",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BPK Gunung Mulia, 2005).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2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Dodson, Jonathan K. </w:t>
      </w:r>
      <w:r>
        <w:rPr>
          <w:rStyle w:val="CharStyle13"/>
        </w:rPr>
        <w:t>“Pemuridan Yang Berpusatkan lnjiP\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(Literatur Perkantas,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/>
        <w:ind w:left="122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2012</w:t>
      </w:r>
      <w:r>
        <w:rPr>
          <w:rStyle w:val="CharStyle19"/>
        </w:rPr>
        <w:t>).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rStyle w:val="CharStyle10"/>
          <w:i w:val="0"/>
          <w:iCs w:val="0"/>
        </w:rPr>
        <w:t>Borthwick, Paul. “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Mengikut Yesus dan Mengasihi Duma: Great Commission Great Compassion”,</w:t>
      </w:r>
      <w:r>
        <w:rPr>
          <w:rStyle w:val="CharStyle10"/>
          <w:i w:val="0"/>
          <w:iCs w:val="0"/>
        </w:rPr>
        <w:t xml:space="preserve"> (Surabaya: Literatur Perkantas, 2016).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Garrison, Allion.</w:t>
      </w:r>
      <w:r>
        <w:rPr>
          <w:rStyle w:val="CharStyle13"/>
        </w:rPr>
        <w:t>“Pemuridan Yang Berhasil, Murid360°”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(Malang: Gandum Mas, 2016).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Hutabarat, Herdy N. “</w:t>
      </w:r>
      <w:r>
        <w:rPr>
          <w:rStyle w:val="CharStyle13"/>
        </w:rPr>
        <w:t>Monitoring dan Pemuridan: Anda Juga Bisa”,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(Bandung: Yayasan Kalam Hidup, 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rStyle w:val="CharStyle10"/>
          <w:i w:val="0"/>
          <w:iCs w:val="0"/>
        </w:rPr>
        <w:t xml:space="preserve">Borrong, Robert P.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“Melayani Makin Sungguh ”. (Jakarta: Bpk Gunung Mulia,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/>
        <w:ind w:left="940" w:right="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2016</w:t>
      </w:r>
      <w:r>
        <w:rPr>
          <w:rStyle w:val="CharStyle22"/>
          <w:i/>
          <w:iCs/>
        </w:rPr>
        <w:t>).</w:t>
      </w:r>
      <w:bookmarkEnd w:id="5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Tandiassa, Samuel. “</w:t>
      </w:r>
      <w:r>
        <w:rPr>
          <w:rStyle w:val="CharStyle13"/>
        </w:rPr>
        <w:t>Kepemimpinan Gereja LokaF,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(Yogyakarta: Model, 2010)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rStyle w:val="CharStyle10"/>
          <w:i w:val="0"/>
          <w:iCs w:val="0"/>
        </w:rPr>
        <w:t xml:space="preserve">Persons, Burk.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Jhon Calvin, Sebuah Hati Untuk Ketaatan, Doktrin, dan Puji- pujian”.</w:t>
      </w:r>
      <w:r>
        <w:rPr>
          <w:rStyle w:val="CharStyle10"/>
          <w:i w:val="0"/>
          <w:iCs w:val="0"/>
        </w:rPr>
        <w:t xml:space="preserve"> (Surabaya: Momentum,2014).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Raines dan Richardson. </w:t>
      </w:r>
      <w:r>
        <w:rPr>
          <w:rStyle w:val="CharStyle13"/>
        </w:rPr>
        <w:t>“Asas-asas Alkitab Bagi KaumMuda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(Bandung: Yayasan Kalam Hidup, 1961).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940" w:right="0"/>
      </w:pPr>
      <w:r>
        <w:rPr>
          <w:rStyle w:val="CharStyle10"/>
          <w:i w:val="0"/>
          <w:iCs w:val="0"/>
        </w:rPr>
        <w:t xml:space="preserve">Hurlock Elizabeth b.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“Psikologi Perkembangan Suatu Pendekatan Sepanjang Rentang Kehidupari”. (Jakarta: Erlangga).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Benson, Werren S. &amp; Senter, Mark H. </w:t>
      </w:r>
      <w:r>
        <w:rPr>
          <w:rStyle w:val="CharStyle13"/>
        </w:rPr>
        <w:t>“Pedoman Lengkap untuk Pelayanan Kaum Muda 1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”. (Bandung: Yayasan Kalam Hidup, 1999)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Sujarweni, Wiratna V. “</w:t>
      </w:r>
      <w:r>
        <w:rPr>
          <w:rStyle w:val="CharStyle13"/>
        </w:rPr>
        <w:t>Metode Penelilian Lengkap, Praktis dan Mudah DipahamF,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(Yogyakarta: Pustakabarupress, 2014)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Anggoro. TohaM. Dkk. </w:t>
      </w:r>
      <w:r>
        <w:rPr>
          <w:rStyle w:val="CharStyle13"/>
        </w:rPr>
        <w:t>“Metode Penelilian'.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Universitas Terbuka,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9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2008)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Nasir, Moh. </w:t>
      </w:r>
      <w:r>
        <w:rPr>
          <w:rStyle w:val="CharStyle13"/>
        </w:rPr>
        <w:t>“Metode Penelilian I”.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(Chalia, 1980)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40" w:right="0" w:hanging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Subagyo, Andreas B. “</w:t>
      </w:r>
      <w:r>
        <w:rPr>
          <w:rStyle w:val="CharStyle13"/>
        </w:rPr>
        <w:t>Penganlar Riset Kuantitatif dan Knalitatif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 (Bandung: Yayasan Kalam Hidup, 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40" w:right="0" w:hanging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Santoso, Leo. Kuswadi, Jimmi. “</w:t>
      </w:r>
      <w:r>
        <w:rPr>
          <w:rStyle w:val="CharStyle13"/>
        </w:rPr>
        <w:t>Memulai Hidup Baru"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PT. Sulu Cendikia,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40" w:right="0" w:hanging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Hayong, Bernard S. </w:t>
      </w:r>
      <w:r>
        <w:rPr>
          <w:rStyle w:val="CharStyle13"/>
        </w:rPr>
        <w:t xml:space="preserve">“Doa Tanpa Permohonan, sebuah Filasafat Doa".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(Yogyakarta: Lada-lero, 2014)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Jacobs, Cindy. “</w:t>
      </w:r>
      <w:r>
        <w:rPr>
          <w:rStyle w:val="CharStyle13"/>
        </w:rPr>
        <w:t>Kuasa dari Doa yang Tekun".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(Lgiht Publishing, 2011) Effendy, Onong U. “Ilmu Komunikasi Teori dan Praktek”. (Bandung: Pt. Remaja Rosdakarya, 2015).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Powell, Paul W. </w:t>
      </w:r>
      <w:r>
        <w:rPr>
          <w:rStyle w:val="CharStyle13"/>
        </w:rPr>
        <w:t>“Murid Sejali"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(Bandung: Yayasan Kalam Hidup, 2000) Herianto GP. “.</w:t>
      </w:r>
      <w:r>
        <w:rPr>
          <w:rStyle w:val="CharStyle13"/>
        </w:rPr>
        <w:t>Komunikasi datum Pekabaran InjiF'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(Surabaya: Andi, 2012)</w:t>
      </w:r>
    </w:p>
    <w:p>
      <w:pPr>
        <w:pStyle w:val="Style3"/>
        <w:numPr>
          <w:ilvl w:val="0"/>
          <w:numId w:val="1"/>
        </w:numPr>
        <w:tabs>
          <w:tab w:leader="none" w:pos="42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24" w:lineRule="exact"/>
        <w:ind w:left="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SumberLain</w:t>
      </w:r>
      <w:bookmarkEnd w:id="6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40" w:right="0" w:hanging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Wanda Elisa. Yuvina Elim. Rarung Lince Liling, </w:t>
      </w:r>
      <w:r>
        <w:rPr>
          <w:rStyle w:val="CharStyle13"/>
        </w:rPr>
        <w:t>Percakapan Via WA,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18 Maret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00" w:right="0" w:firstLine="0"/>
      </w:pPr>
      <w:r>
        <w:rPr>
          <w:rStyle w:val="CharStyle13"/>
        </w:rPr>
        <w:t>Percakapan dengan sekrelaris terpilih PPGT JIB,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Novita Sari Liling Langi. </w:t>
      </w:r>
      <w:r>
        <w:fldChar w:fldCharType="begin"/>
      </w:r>
      <w:r>
        <w:rPr>
          <w:rStyle w:val="CharStyle23"/>
        </w:rPr>
        <w:instrText> HYPERLINK "https://bidanpl.bps-uereiatoraia.org" </w:instrText>
      </w:r>
      <w:r>
        <w:fldChar w:fldCharType="separate"/>
      </w:r>
      <w:r>
        <w:rPr>
          <w:rStyle w:val="Hyperlink"/>
        </w:rPr>
        <w:t>https://bidanpl.bps-uereiatoraia.org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240" w:right="0" w:hanging="84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Pemahaman wawancara dengan Sekrelaris Komisi Pekabaran Injil Gereja Toraja</w:t>
      </w:r>
      <w:r>
        <w:rPr>
          <w:rStyle w:val="CharStyle10"/>
          <w:i w:val="0"/>
          <w:iCs w:val="0"/>
        </w:rPr>
        <w:t xml:space="preserve"> Pdt. Armand Dannari.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Brosur Komisi Pekabaran Injil Bagian Misi sebagai Hakikat Gereja,</w:t>
      </w:r>
      <w:r>
        <w:rPr>
          <w:rStyle w:val="CharStyle10"/>
          <w:i w:val="0"/>
          <w:iCs w:val="0"/>
        </w:rPr>
        <w:t xml:space="preserve"> 2019. Badan Pekerja Sinode, “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Tata Gereja dan Peraluran-peraturan Khusus Gereja Toraja “</w:t>
      </w:r>
      <w:r>
        <w:rPr>
          <w:rStyle w:val="CharStyle10"/>
          <w:i w:val="0"/>
          <w:iCs w:val="0"/>
        </w:rPr>
        <w:t xml:space="preserve"> (Rantepao: PT. Sulo, 2013) </w:t>
      </w:r>
      <w:r>
        <w:fldChar w:fldCharType="begin"/>
      </w:r>
      <w:r>
        <w:rPr>
          <w:rStyle w:val="CharStyle24"/>
        </w:rPr>
        <w:instrText> HYPERLINK "https://pputieb.blogspot.com" </w:instrText>
      </w:r>
      <w:r>
        <w:fldChar w:fldCharType="separate"/>
      </w:r>
      <w:r>
        <w:rPr>
          <w:rStyle w:val="Hyperlink"/>
          <w:i w:val="0"/>
          <w:iCs w:val="0"/>
        </w:rPr>
        <w:t>https://pputieb.blogspot.com</w:t>
      </w:r>
      <w:r>
        <w:fldChar w:fldCharType="end"/>
      </w:r>
    </w:p>
    <w:sectPr>
      <w:headerReference w:type="even" r:id="rId5"/>
      <w:headerReference w:type="default" r:id="rId6"/>
      <w:footnotePr>
        <w:pos w:val="pageBottom"/>
        <w:numFmt w:val="decimal"/>
        <w:numRestart w:val="continuous"/>
      </w:footnotePr>
      <w:pgSz w:w="11900" w:h="16840"/>
      <w:pgMar w:top="1768" w:left="673" w:right="2515" w:bottom="1564" w:header="0" w:footer="3" w:gutter="0"/>
      <w:rtlGutter w:val="0"/>
      <w:cols w:space="720"/>
      <w:pgNumType w:start="7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25pt;margin-top:53.45pt;width:10.7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63.25pt;margin-top:52.3pt;width:10.7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2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Heading #2 + 9.5 pt,Bold"/>
    <w:basedOn w:val="CharStyle15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Heading #2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9">
    <w:name w:val="Heading #2 (2) + Times New Roman"/>
    <w:basedOn w:val="CharStyle18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Heading #1_"/>
    <w:basedOn w:val="DefaultParagraphFont"/>
    <w:link w:val="Style20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Heading #1 + Segoe UI,15 pt"/>
    <w:basedOn w:val="CharStyle21"/>
    <w:rPr>
      <w:lang w:val="en-US" w:eastAsia="en-US" w:bidi="en-US"/>
      <w:sz w:val="30"/>
      <w:szCs w:val="3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2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Body text (3) + Not Italic"/>
    <w:basedOn w:val="CharStyle9"/>
    <w:rPr>
      <w:lang w:val="en-US" w:eastAsia="en-US" w:bidi="en-US"/>
      <w:i/>
      <w:iCs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center"/>
      <w:outlineLvl w:val="2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619" w:lineRule="exact"/>
      <w:ind w:hanging="9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619" w:lineRule="exact"/>
      <w:ind w:hanging="9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outlineLvl w:val="1"/>
      <w:spacing w:line="624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Heading #2 (2)"/>
    <w:basedOn w:val="Normal"/>
    <w:link w:val="CharStyle18"/>
    <w:pPr>
      <w:widowControl w:val="0"/>
      <w:shd w:val="clear" w:color="auto" w:fill="FFFFFF"/>
      <w:outlineLvl w:val="1"/>
      <w:spacing w:line="63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line="624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