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91" w:line="260" w:lineRule="exact"/>
        <w:ind w:left="0" w:right="1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dan 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Alkitab Indonesia</w:t>
      </w:r>
      <w:r>
        <w:rPr>
          <w:rStyle w:val="CharStyle12"/>
          <w:i w:val="0"/>
          <w:iCs w:val="0"/>
        </w:rPr>
        <w:t xml:space="preserve"> (LAI). Jakarta,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Salim, Peter dan Yenni Salim, Kamus </w:t>
      </w:r>
      <w:r>
        <w:rPr>
          <w:rStyle w:val="CharStyle15"/>
        </w:rPr>
        <w:t xml:space="preserve">Besar Bahasa Indonesia Kontemporer.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Jakarta:Modem English Pers, 1991.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dan Pengembangan Bahasa, </w:t>
      </w:r>
      <w:r>
        <w:rPr>
          <w:rStyle w:val="CharStyle15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21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Pekerja Sinode Gereja Toraja, </w:t>
      </w:r>
      <w:r>
        <w:rPr>
          <w:rStyle w:val="CharStyle15"/>
        </w:rPr>
        <w:t>Tata Gereja Dan Peraturan-Peraturan Khusus Gereja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(Rantepao: PT Sulo,2014).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J.L. Ch, </w:t>
      </w:r>
      <w:r>
        <w:rPr>
          <w:rStyle w:val="CharStyle15"/>
        </w:rPr>
        <w:t>Pedoman Praktis Untuk Pelayanan Pastoral,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00"/>
      </w:pPr>
      <w:r>
        <w:rPr>
          <w:rStyle w:val="CharStyle12"/>
          <w:i w:val="0"/>
          <w:iCs w:val="0"/>
        </w:rPr>
        <w:t xml:space="preserve">Sugyono,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 &amp; D</w:t>
      </w:r>
      <w:r>
        <w:rPr>
          <w:rStyle w:val="CharStyle12"/>
          <w:i w:val="0"/>
          <w:iCs w:val="0"/>
        </w:rPr>
        <w:t xml:space="preserve"> (Bandung: Alfabeta,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&amp; Suwandi, </w:t>
      </w:r>
      <w:r>
        <w:rPr>
          <w:rStyle w:val="CharStyle15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Renika Cipta,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Patilima, </w:t>
      </w:r>
      <w:r>
        <w:rPr>
          <w:rStyle w:val="CharStyle15"/>
        </w:rPr>
        <w:t>Metode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Alfabeta, 2001). Cully, Iris V. </w:t>
      </w:r>
      <w:r>
        <w:rPr>
          <w:rStyle w:val="CharStyle15"/>
        </w:rPr>
        <w:t>Dinamika Pendidikan.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 J.M. Nainggolan, </w:t>
      </w:r>
      <w:r>
        <w:rPr>
          <w:rStyle w:val="CharStyle15"/>
        </w:rPr>
        <w:t>Strategi Pendidikan Warga Gereja,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(Jabar: Generasi Info Media, 2008).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Maidiantius Tanyid, </w:t>
      </w:r>
      <w:r>
        <w:rPr>
          <w:rStyle w:val="CharStyle15"/>
        </w:rPr>
        <w:t>Pendidikan Agama Kristen Konteks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Kalam Hidup, 2013).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E.P. Gintings, </w:t>
      </w:r>
      <w:r>
        <w:rPr>
          <w:rStyle w:val="CharStyle15"/>
        </w:rPr>
        <w:t>Konseling Pastoral: Penggembalaan Kontekstual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Bina Media Informasi, 2009).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Aart Van Beek, </w:t>
      </w:r>
      <w:r>
        <w:rPr>
          <w:rStyle w:val="CharStyle15"/>
        </w:rPr>
        <w:t>Pendamping Pastoral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 2007). Departemen Pendidikan Nasional, </w:t>
      </w:r>
      <w:r>
        <w:rPr>
          <w:rStyle w:val="CharStyle15"/>
        </w:rPr>
        <w:t>Kamus Besar Bahasa Indonesia Edisi keempat.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J.I.Ch.Abineno, </w:t>
      </w:r>
      <w:r>
        <w:rPr>
          <w:rStyle w:val="CharStyle15"/>
        </w:rPr>
        <w:t>Pedoman Praktis untuk Pelayanan Patoral,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BPK. Gunung Mulia, tt).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6" w:line="24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Aart Van Beek, </w:t>
      </w:r>
      <w:r>
        <w:rPr>
          <w:rStyle w:val="CharStyle15"/>
        </w:rPr>
        <w:t>Pendampingan Pastoral,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18"/>
        </w:rPr>
        <w:t>).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Tanuwijaya, </w:t>
      </w:r>
      <w:r>
        <w:rPr>
          <w:rStyle w:val="CharStyle15"/>
        </w:rPr>
        <w:t>Bimbingan Konselor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STT Intemasional Philadelphia, 2004),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900"/>
      </w:pPr>
      <w:r>
        <w:rPr>
          <w:rStyle w:val="CharStyle12"/>
          <w:i w:val="0"/>
          <w:iCs w:val="0"/>
        </w:rPr>
        <w:t xml:space="preserve">Stephen Tanuwijaya,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Bimbingan Konselor Kristen,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Oliver Me Mahan, </w:t>
      </w:r>
      <w:r>
        <w:rPr>
          <w:rStyle w:val="CharStyle15"/>
        </w:rPr>
        <w:t>Gembala jernaat yang Sukses,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Metanoia, 2002), Elizabeth B. Hurlock, </w:t>
      </w:r>
      <w:r>
        <w:rPr>
          <w:rStyle w:val="CharStyle15"/>
        </w:rPr>
        <w:t>Psikologi Perkembangan suatu Pendekatan Sepanjang Rentang Kehidupan,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edisi kelima, Qakarta: Erlangga, 1980).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W. Santrock, " </w:t>
      </w:r>
      <w:r>
        <w:rPr>
          <w:rStyle w:val="CharStyle15"/>
        </w:rPr>
        <w:t>Remaja Jilid 1 ",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Erlangga 2007).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77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Muhammad Ali dan Muhammad Asrori, </w:t>
      </w:r>
      <w:r>
        <w:rPr>
          <w:rStyle w:val="CharStyle15"/>
        </w:rPr>
        <w:t>Psikologi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Bumi Aksara, 2005),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rStyle w:val="CharStyle12"/>
          <w:i w:val="0"/>
          <w:iCs w:val="0"/>
        </w:rPr>
        <w:t xml:space="preserve">Hendrianti Agustiani,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Perkembangan (Pendekatan Ekologi Kaitannya dengan Konsep Diri dan Penyesuaian diri pada Remaja.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Elisabth B. Hurlock, </w:t>
      </w:r>
      <w:r>
        <w:rPr>
          <w:rStyle w:val="CharStyle15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Erlangga, 1980). Dadang Sulaiman, </w:t>
      </w:r>
      <w:r>
        <w:rPr>
          <w:rStyle w:val="CharStyle15"/>
        </w:rPr>
        <w:t>Psikologi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Mandar Maju 1995).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Daliono, </w:t>
      </w:r>
      <w:r>
        <w:rPr>
          <w:rStyle w:val="CharStyle15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Rineka Gipta, 2005).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Sumadi surybrata, </w:t>
      </w:r>
      <w:r>
        <w:rPr>
          <w:rStyle w:val="CharStyle15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Raja Grafindo Persada,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2002</w:t>
      </w:r>
      <w:r>
        <w:rPr>
          <w:rStyle w:val="CharStyle21"/>
        </w:rPr>
        <w:t>).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 Tanya, </w:t>
      </w:r>
      <w:r>
        <w:rPr>
          <w:rStyle w:val="CharStyle15"/>
        </w:rPr>
        <w:t>Gereja dan Pendidikan Agama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Sekolah Tinggi Teologi Cipanas, 1999).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Peraturan Khusus Gereja Toraja</w:t>
      </w:r>
      <w:r>
        <w:rPr>
          <w:rStyle w:val="CharStyle12"/>
          <w:i w:val="0"/>
          <w:iCs w:val="0"/>
        </w:rPr>
        <w:t xml:space="preserve"> (Rantepao: PT Sulo,2014).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 Stanley Heath, </w:t>
      </w:r>
      <w:r>
        <w:rPr>
          <w:rStyle w:val="CharStyle15"/>
        </w:rPr>
        <w:t xml:space="preserve">Teologi Pendidikan Dasar Pelayanan kepada 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(Bandung: Kalam Hidup, 2005).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 w:hanging="880"/>
      </w:pPr>
      <w:r>
        <w:rPr>
          <w:rStyle w:val="CharStyle12"/>
          <w:i w:val="0"/>
          <w:iCs w:val="0"/>
        </w:rPr>
        <w:t xml:space="preserve">Riduwan,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Skala Pengukuran Variabel-variabel Penelitian</w:t>
      </w:r>
      <w:r>
        <w:rPr>
          <w:rStyle w:val="CharStyle12"/>
          <w:i w:val="0"/>
          <w:iCs w:val="0"/>
        </w:rPr>
        <w:t xml:space="preserve"> (Bandung: Alfabeta,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158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4"/>
        </w:rPr>
        <w:t>).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Cholid Narbuko &amp; Abu Achmadi, </w:t>
      </w:r>
      <w:r>
        <w:rPr>
          <w:rStyle w:val="CharStyle15"/>
        </w:rPr>
        <w:t>Metodologi Penelitian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Bumi Aksara, 2012)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6"/>
        <w:ind w:left="22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Syaodin Sukma Dinata, </w:t>
      </w:r>
      <w:r>
        <w:rPr>
          <w:rStyle w:val="CharStyle15"/>
        </w:rPr>
        <w:t xml:space="preserve">Tuntunan Penulisan Karya Ilmiah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(Bandung:Sinar Baru Alegensindo, 2009).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Beek Van Aart, </w:t>
      </w:r>
      <w:r>
        <w:rPr>
          <w:rStyle w:val="CharStyle15"/>
        </w:rPr>
        <w:t>Pendampingan Pastoral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 2007). Storm Boris. M , </w:t>
      </w:r>
      <w:r>
        <w:rPr>
          <w:rStyle w:val="CharStyle15"/>
        </w:rPr>
        <w:t>Apakah Penggembalaan itu,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(Jakarta, BPK Gunung Mulia,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2005).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Jaekle R. Charles and Clebsch. A William, </w:t>
      </w:r>
      <w:r>
        <w:rPr>
          <w:rStyle w:val="CharStyle15"/>
        </w:rPr>
        <w:t>Pastoral Care in Historical Perspective,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(Englewood Cliffs, NJ: Prentice-Hall, 1964).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Haarsma. F, </w:t>
      </w:r>
      <w:r>
        <w:rPr>
          <w:rStyle w:val="CharStyle15"/>
        </w:rPr>
        <w:t>Pastoral Dalam Dunia,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Puspas 1991).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Clinebell Howard, Tipe-tipe </w:t>
      </w:r>
      <w:r>
        <w:rPr>
          <w:rStyle w:val="CharStyle15"/>
        </w:rPr>
        <w:t xml:space="preserve">Dasar Pendampingan dan Konseling Pastoral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(Yogyakarta: Practical Theology Translation Project Fakultas Teologi Universitas Kristen Duta Wacana).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709" w:lineRule="exact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Engel. D. J, </w:t>
      </w:r>
      <w:r>
        <w:rPr>
          <w:rStyle w:val="CharStyle15"/>
        </w:rPr>
        <w:t>Konseling Suatu Fungsi Pastoral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(Salatiga: Tisara Grafika). </w:t>
      </w:r>
      <w:r>
        <w:rPr>
          <w:rStyle w:val="CharStyle25"/>
        </w:rPr>
        <w:t>Internet: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80" w:line="360" w:lineRule="exact"/>
        <w:ind w:left="2120" w:right="0"/>
      </w:pPr>
      <w:r>
        <w:fldChar w:fldCharType="begin"/>
      </w:r>
      <w:r>
        <w:rPr>
          <w:rStyle w:val="CharStyle26"/>
        </w:rPr>
        <w:instrText> HYPERLINK "http://dapetza2007.blogspot.co.id/2009/06/gereia-dan-pendidikan.html" </w:instrText>
      </w:r>
      <w:r>
        <w:fldChar w:fldCharType="separate"/>
      </w:r>
      <w:r>
        <w:rPr>
          <w:rStyle w:val="Hyperlink"/>
          <w:i/>
          <w:iCs/>
        </w:rPr>
        <w:t>http://dapetza2007.blogspot.co.id/2009/06/gereia-dan-pendidikan.html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  <w:r>
        <w:rPr>
          <w:rStyle w:val="CharStyle12"/>
          <w:i w:val="0"/>
          <w:iCs w:val="0"/>
        </w:rPr>
        <w:t xml:space="preserve"> Diakses pada tanggal 17 Desember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Referensi Lain: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" w:line="240" w:lineRule="exact"/>
        <w:ind w:left="0" w:right="0" w:firstLine="920"/>
      </w:pPr>
      <w:r>
        <w:rPr>
          <w:rStyle w:val="CharStyle12"/>
          <w:i w:val="0"/>
          <w:iCs w:val="0"/>
        </w:rPr>
        <w:t xml:space="preserve">PP SMGT,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Tata Kerja SMGT dan UU Perlindungan Anak.</w:t>
      </w:r>
      <w:r>
        <w:rPr>
          <w:rStyle w:val="CharStyle12"/>
          <w:i w:val="0"/>
          <w:iCs w:val="0"/>
        </w:rPr>
        <w:t xml:space="preserve"> Rantepao: PT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" w:line="240" w:lineRule="exact"/>
        <w:ind w:left="2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Sulo,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Sendi, Awer </w:t>
      </w:r>
      <w:r>
        <w:rPr>
          <w:rStyle w:val="CharStyle15"/>
        </w:rPr>
        <w:t>Materi Kuliah Psikologi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STAKN Toraja, 2017.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20160"/>
      <w:pgMar w:top="3044" w:left="1399" w:right="1740" w:bottom="2707" w:header="0" w:footer="3" w:gutter="0"/>
      <w:rtlGutter w:val="0"/>
      <w:cols w:space="720"/>
      <w:pgNumType w:start="6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25pt;margin-top:90.pt;width:12.65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2">
    <w:name w:val="Body text (4) + Not Italic"/>
    <w:basedOn w:val="CharStyle11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5">
    <w:name w:val="Body text (2) + Italic"/>
    <w:basedOn w:val="CharStyle1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Heading #1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18">
    <w:name w:val="Heading #1 (2) + Bold"/>
    <w:basedOn w:val="CharStyle17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Heading #2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21">
    <w:name w:val="Heading #2 + Bold"/>
    <w:basedOn w:val="CharStyle20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Heading #2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24">
    <w:name w:val="Heading #2 (2) + Garamond,10.5 pt,Bold"/>
    <w:basedOn w:val="CharStyle23"/>
    <w:rPr>
      <w:lang w:val="en-US" w:eastAsia="en-US" w:bidi="en-US"/>
      <w:b/>
      <w:bCs/>
      <w:sz w:val="21"/>
      <w:szCs w:val="21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5">
    <w:name w:val="Body text (2) + 13 pt,Bold"/>
    <w:basedOn w:val="CharStyle14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6">
    <w:name w:val="Body text (4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right"/>
      <w:spacing w:before="420" w:line="34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343" w:lineRule="exact"/>
      <w:ind w:hanging="120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343" w:lineRule="exact"/>
      <w:ind w:hanging="142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6">
    <w:name w:val="Heading #1 (2)"/>
    <w:basedOn w:val="Normal"/>
    <w:link w:val="CharStyle17"/>
    <w:pPr>
      <w:widowControl w:val="0"/>
      <w:shd w:val="clear" w:color="auto" w:fill="FFFFFF"/>
      <w:jc w:val="right"/>
      <w:outlineLvl w:val="0"/>
      <w:spacing w:before="120" w:after="60" w:line="0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line="34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22">
    <w:name w:val="Heading #2 (2)"/>
    <w:basedOn w:val="Normal"/>
    <w:link w:val="CharStyle23"/>
    <w:pPr>
      <w:widowControl w:val="0"/>
      <w:shd w:val="clear" w:color="auto" w:fill="FFFFFF"/>
      <w:outlineLvl w:val="1"/>
      <w:spacing w:line="343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