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8E" w:rsidRDefault="00DE456C">
      <w:pPr>
        <w:pStyle w:val="Bodytext30"/>
        <w:shd w:val="clear" w:color="auto" w:fill="auto"/>
        <w:spacing w:after="291" w:line="260" w:lineRule="exact"/>
      </w:pPr>
      <w:r>
        <w:t>BAB II</w:t>
      </w:r>
      <w:bookmarkStart w:id="0" w:name="_GoBack"/>
      <w:bookmarkEnd w:id="0"/>
    </w:p>
    <w:p w:rsidR="0099578E" w:rsidRDefault="00526D5E">
      <w:pPr>
        <w:pStyle w:val="Heading10"/>
        <w:keepNext/>
        <w:keepLines/>
        <w:shd w:val="clear" w:color="auto" w:fill="auto"/>
        <w:spacing w:before="0" w:after="903" w:line="260" w:lineRule="exact"/>
      </w:pPr>
      <w:bookmarkStart w:id="1" w:name="bookmark0"/>
      <w:r>
        <w:t>TINJAUAN PUSTAKA</w:t>
      </w:r>
      <w:bookmarkEnd w:id="1"/>
    </w:p>
    <w:p w:rsidR="0099578E" w:rsidRDefault="00526D5E">
      <w:pPr>
        <w:pStyle w:val="Heading10"/>
        <w:keepNext/>
        <w:keepLines/>
        <w:shd w:val="clear" w:color="auto" w:fill="auto"/>
        <w:spacing w:before="0" w:after="597" w:line="260" w:lineRule="exact"/>
        <w:jc w:val="both"/>
      </w:pPr>
      <w:bookmarkStart w:id="2" w:name="bookmark1"/>
      <w:r>
        <w:t>A. Ada’Tuo di Pitu Ulunna Salu</w:t>
      </w:r>
      <w:bookmarkEnd w:id="2"/>
    </w:p>
    <w:p w:rsidR="0099578E" w:rsidRDefault="00526D5E">
      <w:pPr>
        <w:pStyle w:val="Heading10"/>
        <w:keepNext/>
        <w:keepLines/>
        <w:numPr>
          <w:ilvl w:val="0"/>
          <w:numId w:val="2"/>
        </w:numPr>
        <w:shd w:val="clear" w:color="auto" w:fill="auto"/>
        <w:tabs>
          <w:tab w:val="left" w:pos="885"/>
        </w:tabs>
        <w:spacing w:before="0" w:after="346" w:line="260" w:lineRule="exact"/>
        <w:ind w:left="480"/>
        <w:jc w:val="both"/>
      </w:pPr>
      <w:bookmarkStart w:id="3" w:name="bookmark2"/>
      <w:r>
        <w:t>Gambaran Umum Wilayah Pitu Ulunna Salu (Identifikasi)</w:t>
      </w:r>
      <w:bookmarkEnd w:id="3"/>
    </w:p>
    <w:p w:rsidR="0099578E" w:rsidRDefault="00526D5E">
      <w:pPr>
        <w:pStyle w:val="Bodytext20"/>
        <w:shd w:val="clear" w:color="auto" w:fill="auto"/>
        <w:spacing w:before="0"/>
        <w:ind w:firstLine="880"/>
      </w:pPr>
      <w:r>
        <w:t xml:space="preserve">Gereja Toraja Mamasa (GTM), terdiri dari enam wilayah pelayanan. Empat wilayah pelayanan diantaranya meliputi empat wilayah di bagian pegunungan </w:t>
      </w:r>
      <w:r>
        <w:t>Kabuapten Mamasa yang meliputi:</w:t>
      </w:r>
    </w:p>
    <w:p w:rsidR="0099578E" w:rsidRDefault="00526D5E">
      <w:pPr>
        <w:pStyle w:val="Bodytext20"/>
        <w:numPr>
          <w:ilvl w:val="0"/>
          <w:numId w:val="3"/>
        </w:numPr>
        <w:shd w:val="clear" w:color="auto" w:fill="auto"/>
        <w:tabs>
          <w:tab w:val="left" w:pos="409"/>
        </w:tabs>
        <w:spacing w:before="0"/>
        <w:ind w:left="480" w:hanging="480"/>
        <w:jc w:val="left"/>
      </w:pPr>
      <w:r>
        <w:t>Wilayah pelayanan Lembang Mamasa yang meliputi Kecamatan Mamasa dan sekitarnya.</w:t>
      </w:r>
    </w:p>
    <w:p w:rsidR="0099578E" w:rsidRDefault="00526D5E">
      <w:pPr>
        <w:pStyle w:val="Bodytext20"/>
        <w:numPr>
          <w:ilvl w:val="0"/>
          <w:numId w:val="3"/>
        </w:numPr>
        <w:shd w:val="clear" w:color="auto" w:fill="auto"/>
        <w:tabs>
          <w:tab w:val="left" w:pos="409"/>
        </w:tabs>
        <w:spacing w:before="0"/>
        <w:ind w:left="480" w:hanging="480"/>
        <w:jc w:val="left"/>
      </w:pPr>
      <w:r>
        <w:t>Wilayah pelayanan Tandalangngan yang meliputi Kecamatan Pana’ dan Kecamatan Nosu.</w:t>
      </w:r>
    </w:p>
    <w:p w:rsidR="0099578E" w:rsidRDefault="00526D5E">
      <w:pPr>
        <w:pStyle w:val="Bodytext20"/>
        <w:numPr>
          <w:ilvl w:val="0"/>
          <w:numId w:val="3"/>
        </w:numPr>
        <w:shd w:val="clear" w:color="auto" w:fill="auto"/>
        <w:tabs>
          <w:tab w:val="left" w:pos="409"/>
        </w:tabs>
        <w:spacing w:before="0"/>
        <w:ind w:firstLine="0"/>
      </w:pPr>
      <w:r>
        <w:t>Wilayah pelayanan Tandasau’ yang meliputi Kecamatan Sumarorong</w:t>
      </w:r>
    </w:p>
    <w:p w:rsidR="0099578E" w:rsidRDefault="00526D5E">
      <w:pPr>
        <w:pStyle w:val="Bodytext20"/>
        <w:numPr>
          <w:ilvl w:val="0"/>
          <w:numId w:val="3"/>
        </w:numPr>
        <w:shd w:val="clear" w:color="auto" w:fill="auto"/>
        <w:tabs>
          <w:tab w:val="left" w:pos="409"/>
        </w:tabs>
        <w:spacing w:before="0"/>
        <w:ind w:left="480" w:hanging="480"/>
        <w:jc w:val="left"/>
      </w:pPr>
      <w:r>
        <w:t>Wilayah pelayanan Pitu Ulunna Salu yang meliputi Kecamatan Mambi dan sekitarnya.</w:t>
      </w:r>
    </w:p>
    <w:p w:rsidR="0099578E" w:rsidRDefault="00526D5E">
      <w:pPr>
        <w:pStyle w:val="Bodytext20"/>
        <w:shd w:val="clear" w:color="auto" w:fill="auto"/>
        <w:spacing w:before="0"/>
        <w:ind w:firstLine="0"/>
      </w:pPr>
      <w:r>
        <w:t xml:space="preserve">Dua wilayah pelayanan Gereja Toraja Mamasa yang lainnya yaitu wilayah pelayanan Katumpang - Mamuju dan wilayah pelayanan Pesisir yang meliputi bagian pesisir Polewali (Kabupaten Polewali - Mandar), Kabupaten Pinrang, Kabupaten Pare-Pare </w:t>
      </w:r>
      <w:r>
        <w:rPr>
          <w:lang w:val="en-US" w:eastAsia="en-US" w:bidi="en-US"/>
        </w:rPr>
        <w:t>dan Makassar.</w:t>
      </w:r>
    </w:p>
    <w:p w:rsidR="0099578E" w:rsidRDefault="00526D5E">
      <w:pPr>
        <w:pStyle w:val="Bodytext20"/>
        <w:shd w:val="clear" w:color="auto" w:fill="auto"/>
        <w:spacing w:before="0"/>
        <w:ind w:firstLine="880"/>
      </w:pPr>
      <w:r>
        <w:t>Lokas</w:t>
      </w:r>
      <w:r>
        <w:t xml:space="preserve">i penelitian </w:t>
      </w:r>
      <w:r>
        <w:rPr>
          <w:rStyle w:val="Bodytext2Italic"/>
        </w:rPr>
        <w:t>Ada 'Tuo</w:t>
      </w:r>
      <w:r>
        <w:t xml:space="preserve"> dalam tulisan ini, adalah wilayah pelayanan di Pitu Ulunna Salu </w:t>
      </w:r>
      <w:r>
        <w:rPr>
          <w:rStyle w:val="Bodytext2Italic"/>
        </w:rPr>
        <w:t>(pitu ulunna salu,</w:t>
      </w:r>
      <w:r>
        <w:t xml:space="preserve"> berarti tujuh hulu sungai) yang sebenarnya adalah nama simbolis yang menunjuk kepada tujuh kepala hadat. Wilayah itu meliputi tujuh daerah yakni: Tabul</w:t>
      </w:r>
      <w:r>
        <w:t>ahan, Bambang, Mambi, Arale, Rantebulahan, Matangnga dan Tabang.</w:t>
      </w:r>
    </w:p>
    <w:p w:rsidR="0099578E" w:rsidRDefault="00526D5E">
      <w:pPr>
        <w:pStyle w:val="Bodytext20"/>
        <w:shd w:val="clear" w:color="auto" w:fill="auto"/>
        <w:spacing w:before="0" w:after="69" w:line="540" w:lineRule="exact"/>
        <w:ind w:firstLine="880"/>
      </w:pPr>
      <w:r>
        <w:t xml:space="preserve">Pada awal abad ke-20, sejak masuknya pemerintahan Hindia - Belanda, tujuh daerah </w:t>
      </w:r>
      <w:r>
        <w:lastRenderedPageBreak/>
        <w:t>hadat tersebut, dijadikan tujuh distrik yang bergabung dalam "onder afdeling Boven Binuang en Pitu Ulunna Salu</w:t>
      </w:r>
      <w:r>
        <w:t>” yang terdiri dari tujuh belas distrik. Onder afdeling ini, dipimpin oleh seorang ’’kontroleur” yang berkedudukan di Mamasa. Pitu Ulunna salu dengan enam distrik (Tabang tidak termasuk) itu, menjadi satu “Hulp Bestuur Ambtenear (HBA)” dengan nama Hulp Bes</w:t>
      </w:r>
      <w:r>
        <w:t>tuur Ambtenear Pitu Ulunna Salu (H.B.A.P.U.S). Selanjutnya H.B.A.P.U.S berubah menjadi Kecamatan yang meliputi lima distrik, karena distrik Matangnga masuk Kecamatan Sumarorong, dan distrik Tabang masuk Kecamatan Pana\ Kelima distrik itu diubah menjadi tuj</w:t>
      </w:r>
      <w:r>
        <w:t>uh desa yaitu Desa Bambang, Desa Rantebulahan, Desa Arale, Desa Mambi, Desa Tabulahan, Desa Buntu Malangka dan Desa Mehalaan. Dengan demikian, H.B.A.P.U.S berubah menjadi Kecamatan Mambi, dan sejak saat itu, nama Pitu Ulunna Salu tidak dipakai dalam strukt</w:t>
      </w:r>
      <w:r>
        <w:t>ur pemerintahan, namun tetap dipakai dalam struktur pelayanan Gereja Toraja Mamasa yang meliputi Kecamatan Mambi.</w:t>
      </w:r>
    </w:p>
    <w:p w:rsidR="0099578E" w:rsidRDefault="00526D5E">
      <w:pPr>
        <w:pStyle w:val="Bodytext40"/>
        <w:numPr>
          <w:ilvl w:val="0"/>
          <w:numId w:val="2"/>
        </w:numPr>
        <w:shd w:val="clear" w:color="auto" w:fill="auto"/>
        <w:tabs>
          <w:tab w:val="left" w:pos="876"/>
        </w:tabs>
        <w:spacing w:before="0"/>
        <w:ind w:left="460" w:firstLine="0"/>
      </w:pPr>
      <w:r>
        <w:t>Hakekat Ada’ Tuo</w:t>
      </w:r>
    </w:p>
    <w:p w:rsidR="0099578E" w:rsidRDefault="00526D5E">
      <w:pPr>
        <w:pStyle w:val="Bodytext40"/>
        <w:numPr>
          <w:ilvl w:val="0"/>
          <w:numId w:val="4"/>
        </w:numPr>
        <w:shd w:val="clear" w:color="auto" w:fill="auto"/>
        <w:tabs>
          <w:tab w:val="left" w:pos="1206"/>
        </w:tabs>
        <w:spacing w:before="0"/>
        <w:ind w:left="1160" w:right="4260"/>
        <w:jc w:val="left"/>
      </w:pPr>
      <w:r>
        <w:t>Pengertian Ada’ Tuo Secara Umum 1) Adat</w:t>
      </w:r>
    </w:p>
    <w:p w:rsidR="0099578E" w:rsidRDefault="00526D5E">
      <w:pPr>
        <w:pStyle w:val="Bodytext20"/>
        <w:shd w:val="clear" w:color="auto" w:fill="auto"/>
        <w:spacing w:before="0" w:line="602" w:lineRule="exact"/>
        <w:ind w:firstLine="880"/>
      </w:pPr>
      <w:r>
        <w:rPr>
          <w:rStyle w:val="Bodytext2Italic"/>
        </w:rPr>
        <w:t>Ada ’ Tuo</w:t>
      </w:r>
      <w:r>
        <w:t xml:space="preserve"> adalah istilah atau penamaan dari adat atau kebiasaan yang berlaku di wilay</w:t>
      </w:r>
      <w:r>
        <w:t xml:space="preserve">ah / daerah Pitu Ulunna Salu. Dilihat dari asal katanya, kata </w:t>
      </w:r>
      <w:r>
        <w:rPr>
          <w:rStyle w:val="Bodytext2Italic"/>
        </w:rPr>
        <w:t>ada' tuo</w:t>
      </w:r>
      <w:r>
        <w:t xml:space="preserve"> berasal dari bahasa daerah Bambam yaitu ”ada’” yang berarti ’’adat atau kebiasaan”,</w:t>
      </w:r>
      <w:r>
        <w:br w:type="page"/>
      </w:r>
      <w:r>
        <w:lastRenderedPageBreak/>
        <w:t xml:space="preserve">sedangkan ”tuo” yang berarti ’’hidup”. Sehingga ketika berbicara tentang </w:t>
      </w:r>
      <w:r>
        <w:rPr>
          <w:rStyle w:val="Bodytext2Italic"/>
        </w:rPr>
        <w:t xml:space="preserve">Ada' Tuo, </w:t>
      </w:r>
      <w:r>
        <w:t xml:space="preserve">berarti berbicara </w:t>
      </w:r>
      <w:r>
        <w:t>tentang adat atau kebudayaan yang berlaku di Pitu Ulunna Salu, dalam hal mana adat itu mampu memberikan pengayoman atau perlindungan bagi warganya, karena di dalamnya terdapat nilai-nilai kehidupan, yang mampu mengangkat derajat, harkat dan martabat manusi</w:t>
      </w:r>
      <w:r>
        <w:t>a.</w:t>
      </w:r>
      <w:r>
        <w:rPr>
          <w:vertAlign w:val="superscript"/>
        </w:rPr>
        <w:footnoteReference w:id="1"/>
      </w:r>
    </w:p>
    <w:p w:rsidR="0099578E" w:rsidRDefault="00526D5E">
      <w:pPr>
        <w:pStyle w:val="Bodytext20"/>
        <w:shd w:val="clear" w:color="auto" w:fill="auto"/>
        <w:spacing w:before="0" w:line="568" w:lineRule="exact"/>
        <w:ind w:firstLine="900"/>
      </w:pPr>
      <w:r>
        <w:t xml:space="preserve">Kata kunci yang mendasar dari kata </w:t>
      </w:r>
      <w:r>
        <w:rPr>
          <w:rStyle w:val="Bodytext2Italic"/>
        </w:rPr>
        <w:t>Ada ’ Tuo</w:t>
      </w:r>
      <w:r>
        <w:t xml:space="preserve">, terletak pada kata ”ada’” yang identik dengan kata adat dan kebudayaan. Untuk dapat memahami lebih jauh tentang </w:t>
      </w:r>
      <w:r>
        <w:rPr>
          <w:rStyle w:val="Bodytext2Italic"/>
        </w:rPr>
        <w:t>Ada' Tuo</w:t>
      </w:r>
      <w:r>
        <w:t>, maka perlu pengertian mendalam tentang adat dan kebudayaan.</w:t>
      </w:r>
    </w:p>
    <w:p w:rsidR="0099578E" w:rsidRDefault="00526D5E">
      <w:pPr>
        <w:pStyle w:val="Bodytext20"/>
        <w:shd w:val="clear" w:color="auto" w:fill="auto"/>
        <w:spacing w:before="0" w:line="568" w:lineRule="exact"/>
        <w:ind w:firstLine="900"/>
      </w:pPr>
      <w:r>
        <w:t>Pendapat umum, mendefeni</w:t>
      </w:r>
      <w:r>
        <w:t>sikan adat sebagai suatu kebiasaan atau tradisi yang berlaku secara turun temurun di dalam suatu daerah tertentu. Menurut Kamus Umum Bahasa Indonesia karangan W.J.S. Poerwadarminta mengatakan bahwa adat adalah : ”1. Aturan (perubahan dan sebagainya) yang l</w:t>
      </w:r>
      <w:r>
        <w:t>azim diturut atau dilakukan sejak dahulu; 2. Kebiasaan; cara (kelakuan dan sebagainya) yang sudah menjadi kebiasaan”</w:t>
      </w:r>
      <w:r>
        <w:rPr>
          <w:vertAlign w:val="superscript"/>
        </w:rPr>
        <w:footnoteReference w:id="2"/>
      </w:r>
    </w:p>
    <w:p w:rsidR="0099578E" w:rsidRDefault="00526D5E">
      <w:pPr>
        <w:pStyle w:val="Bodytext20"/>
        <w:shd w:val="clear" w:color="auto" w:fill="auto"/>
        <w:spacing w:before="0" w:line="608" w:lineRule="exact"/>
        <w:ind w:firstLine="900"/>
      </w:pPr>
      <w:r>
        <w:t>Kata adat bila diberi imbuhan seperti beradat dan mengadakan, berarti mempunyai adat, menurut atau melakukan secara hadat atau sopan santu</w:t>
      </w:r>
      <w:r>
        <w:t>n, menjadikan adat atau membiasakaa</w:t>
      </w:r>
    </w:p>
    <w:p w:rsidR="0099578E" w:rsidRDefault="00526D5E">
      <w:pPr>
        <w:pStyle w:val="Bodytext20"/>
        <w:shd w:val="clear" w:color="auto" w:fill="auto"/>
        <w:spacing w:before="0" w:line="568" w:lineRule="exact"/>
        <w:ind w:firstLine="900"/>
        <w:sectPr w:rsidR="0099578E">
          <w:headerReference w:type="default" r:id="rId7"/>
          <w:footerReference w:type="first" r:id="rId8"/>
          <w:pgSz w:w="11900" w:h="16840"/>
          <w:pgMar w:top="1827" w:right="1193" w:bottom="1667" w:left="1150" w:header="0" w:footer="3" w:gutter="0"/>
          <w:pgNumType w:start="10"/>
          <w:cols w:space="720"/>
          <w:noEndnote/>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6.9pt;margin-top:615.65pt;width:130.1pt;height:129.6pt;z-index:-125829376;mso-wrap-distance-left:185.9pt;mso-wrap-distance-right:5pt;mso-wrap-distance-bottom:20pt;mso-position-horizontal-relative:margin;mso-position-vertical-relative:margin" wrapcoords="0 0 21600 0 21600 21600 0 21600 0 0">
            <v:imagedata r:id="rId9" o:title="image1"/>
            <w10:wrap type="square" side="left" anchorx="margin" anchory="margin"/>
          </v:shape>
        </w:pict>
      </w:r>
      <w:r>
        <w:pict>
          <v:shapetype id="_x0000_t202" coordsize="21600,21600" o:spt="202" path="m,l,21600r21600,l21600,xe">
            <v:stroke joinstyle="miter"/>
            <v:path gradientshapeok="t" o:connecttype="rect"/>
          </v:shapetype>
          <v:shape id="_x0000_s1026" type="#_x0000_t202" style="position:absolute;left:0;text-align:left;margin-left:271.8pt;margin-top:627.5pt;width:191.55pt;height:36.35pt;z-index:-125829375;mso-wrap-distance-left:5pt;mso-wrap-distance-right:5pt;mso-position-horizontal-relative:margin;mso-position-vertical-relative:margin" filled="f" stroked="f">
            <v:textbox style="mso-fit-shape-to-text:t" inset="0,0,0,0">
              <w:txbxContent>
                <w:p w:rsidR="0099578E" w:rsidRDefault="00526D5E">
                  <w:pPr>
                    <w:pStyle w:val="Bodytext5"/>
                    <w:shd w:val="clear" w:color="auto" w:fill="auto"/>
                  </w:pPr>
                  <w:r>
                    <w:t xml:space="preserve">^aCana: Balai Pustaka, 1986), </w:t>
                  </w:r>
                  <w:r>
                    <w:rPr>
                      <w:lang w:val="en-US" w:eastAsia="en-US" w:bidi="en-US"/>
                    </w:rPr>
                    <w:t xml:space="preserve">him. </w:t>
                  </w:r>
                  <w:r>
                    <w:rPr>
                      <w:rStyle w:val="Bodytext5ItalicExact"/>
                      <w:b/>
                      <w:bCs/>
                    </w:rPr>
                    <w:t xml:space="preserve">'ivTktfsteti di </w:t>
                  </w:r>
                  <w:r>
                    <w:rPr>
                      <w:rStyle w:val="Bodytext5ItalicExact"/>
                      <w:b/>
                      <w:bCs/>
                    </w:rPr>
                    <w:t>Tanah Batak</w:t>
                  </w:r>
                  <w:r>
                    <w:t xml:space="preserve"> (Jakarta: BPK</w:t>
                  </w:r>
                </w:p>
                <w:p w:rsidR="0099578E" w:rsidRDefault="00526D5E">
                  <w:pPr>
                    <w:pStyle w:val="Bodytext6"/>
                    <w:shd w:val="clear" w:color="auto" w:fill="auto"/>
                    <w:spacing w:line="320" w:lineRule="exact"/>
                  </w:pPr>
                  <w:r>
                    <w:t>•.%&gt; \A</w:t>
                  </w:r>
                </w:p>
              </w:txbxContent>
            </v:textbox>
            <w10:wrap type="square" side="left" anchorx="margin" anchory="margin"/>
          </v:shape>
        </w:pict>
      </w:r>
      <w:r>
        <w:t xml:space="preserve">Pendapat Lothar </w:t>
      </w:r>
      <w:r>
        <w:rPr>
          <w:lang w:val="en-US" w:eastAsia="en-US" w:bidi="en-US"/>
        </w:rPr>
        <w:t xml:space="preserve">Schreiner </w:t>
      </w:r>
      <w:r>
        <w:t>mengatakan bahwa kata adat, berasal dari bahasa Arab yaitu dari kata Ada yang berarti "berbalik kembali atau datang kembali”. Di sini adat diartikan sebagai suatu perbuatan yang berulang-ulang dil</w:t>
      </w:r>
      <w:r>
        <w:t>akukan.</w:t>
      </w:r>
      <w:r>
        <w:rPr>
          <w:vertAlign w:val="superscript"/>
        </w:rPr>
        <w:footnoteReference w:id="3"/>
      </w:r>
      <w:r>
        <w:t xml:space="preserve"> Sinonim lain yaitu kata ’’obhaysa” (bahasa Sansekerta) yang berarti ’’biasa”. Dalam kelasiman</w:t>
      </w:r>
    </w:p>
    <w:p w:rsidR="0099578E" w:rsidRDefault="00526D5E">
      <w:pPr>
        <w:pStyle w:val="Bodytext70"/>
        <w:shd w:val="clear" w:color="auto" w:fill="auto"/>
        <w:spacing w:after="612"/>
      </w:pPr>
      <w:r>
        <w:lastRenderedPageBreak/>
        <w:t xml:space="preserve">bahasa sekarang, kata biasa mempunyai arti: sebagai sediakala, sebagai yang sudah- sudah, yang tidak mengalami adat yang dahulu, tidak aneh, sudah </w:t>
      </w:r>
      <w:r>
        <w:t>tersebar luas, berulang-ulang, telah dialami orang dan oleh sebab itu telah menjadi lasim atau sudah menjadi adat.</w:t>
      </w:r>
    </w:p>
    <w:p w:rsidR="0099578E" w:rsidRDefault="00526D5E">
      <w:pPr>
        <w:pStyle w:val="Bodytext70"/>
        <w:shd w:val="clear" w:color="auto" w:fill="auto"/>
        <w:spacing w:after="388" w:line="280" w:lineRule="exact"/>
        <w:ind w:firstLine="1020"/>
      </w:pPr>
      <w:r>
        <w:t>2) Kebudayaan</w:t>
      </w:r>
    </w:p>
    <w:p w:rsidR="0099578E" w:rsidRDefault="00526D5E">
      <w:pPr>
        <w:pStyle w:val="Bodytext70"/>
        <w:shd w:val="clear" w:color="auto" w:fill="auto"/>
        <w:spacing w:after="0" w:line="709" w:lineRule="exact"/>
        <w:ind w:firstLine="1020"/>
      </w:pPr>
      <w:r>
        <w:t xml:space="preserve">Adat, dapat juga diartikan sebagai kebudayaan. Istilah kebudayaan berasal dari bahasa Latin </w:t>
      </w:r>
      <w:r>
        <w:rPr>
          <w:lang w:val="en-US" w:eastAsia="en-US" w:bidi="en-US"/>
        </w:rPr>
        <w:t xml:space="preserve">’’culture” </w:t>
      </w:r>
      <w:r>
        <w:t>dari kata ’’colere” yang</w:t>
      </w:r>
      <w:r>
        <w:t xml:space="preserve"> berarti ”berkembang atau bertumbuh”.</w:t>
      </w:r>
      <w:r>
        <w:rPr>
          <w:vertAlign w:val="superscript"/>
        </w:rPr>
        <w:footnoteReference w:id="4"/>
      </w:r>
      <w:r>
        <w:t xml:space="preserve"> Dalam bahasa Inggris disebut sebagai </w:t>
      </w:r>
      <w:r>
        <w:rPr>
          <w:lang w:val="en-US" w:eastAsia="en-US" w:bidi="en-US"/>
        </w:rPr>
        <w:t xml:space="preserve">“culture”. </w:t>
      </w:r>
      <w:r>
        <w:t xml:space="preserve">Menurut </w:t>
      </w:r>
      <w:r>
        <w:rPr>
          <w:lang w:val="en-US" w:eastAsia="en-US" w:bidi="en-US"/>
        </w:rPr>
        <w:t xml:space="preserve">Sir Edward </w:t>
      </w:r>
      <w:r>
        <w:t>B. Toylor dari paradigma abad ke-19, ia mendefinisikan kebudayaan sebagai keseluruhan kompleks yang bertindak di dalam sejarah dan diturunkan dari ang</w:t>
      </w:r>
      <w:r>
        <w:t>katan ke angkatan melalui tradisi yang mencakup organisasi, sosial, ekonomi, agama, kepercayaan, kebiasaan, hukum, seni, tehnik dan ilmu. Dari definisi ini, dapat disimpulkan bahwa kebudayaan mencakup rohani maupun materil (</w:t>
      </w:r>
      <w:r>
        <w:rPr>
          <w:rStyle w:val="Bodytext7Italic"/>
          <w:b/>
          <w:bCs/>
        </w:rPr>
        <w:t>maddi</w:t>
      </w:r>
      <w:r>
        <w:t>), baik potensi-potensi mau</w:t>
      </w:r>
      <w:r>
        <w:t>pun keterampilan-keterampilan.</w:t>
      </w:r>
      <w:r>
        <w:rPr>
          <w:vertAlign w:val="superscript"/>
        </w:rPr>
        <w:footnoteReference w:id="5"/>
      </w:r>
    </w:p>
    <w:p w:rsidR="0099578E" w:rsidRDefault="00526D5E">
      <w:pPr>
        <w:pStyle w:val="Bodytext70"/>
        <w:shd w:val="clear" w:color="auto" w:fill="auto"/>
        <w:spacing w:after="0" w:line="709" w:lineRule="exact"/>
        <w:ind w:firstLine="1020"/>
        <w:jc w:val="left"/>
      </w:pPr>
      <w:r>
        <w:t xml:space="preserve">Berikut ini, beberapa ahli yang secara teoritis merumuskan pengertian kebudayaan, seperti: </w:t>
      </w:r>
      <w:r>
        <w:rPr>
          <w:lang w:val="en-US" w:eastAsia="en-US" w:bidi="en-US"/>
        </w:rPr>
        <w:t xml:space="preserve">a. Prof. </w:t>
      </w:r>
      <w:r>
        <w:t xml:space="preserve">Dr. C.a.. </w:t>
      </w:r>
      <w:r>
        <w:rPr>
          <w:lang w:val="en-US" w:eastAsia="en-US" w:bidi="en-US"/>
        </w:rPr>
        <w:t xml:space="preserve">Van </w:t>
      </w:r>
      <w:r>
        <w:t>Peursen</w:t>
      </w:r>
    </w:p>
    <w:p w:rsidR="0099578E" w:rsidRDefault="00526D5E">
      <w:pPr>
        <w:pStyle w:val="Bodytext70"/>
        <w:shd w:val="clear" w:color="auto" w:fill="auto"/>
        <w:spacing w:after="0" w:line="349" w:lineRule="exact"/>
        <w:ind w:left="1500"/>
        <w:sectPr w:rsidR="0099578E">
          <w:headerReference w:type="default" r:id="rId10"/>
          <w:headerReference w:type="first" r:id="rId11"/>
          <w:footerReference w:type="first" r:id="rId12"/>
          <w:pgSz w:w="12240" w:h="20160"/>
          <w:pgMar w:top="2167" w:right="582" w:bottom="2167" w:left="492" w:header="0" w:footer="3" w:gutter="0"/>
          <w:cols w:space="720"/>
          <w:noEndnote/>
          <w:titlePg/>
          <w:docGrid w:linePitch="360"/>
        </w:sectPr>
      </w:pPr>
      <w:r>
        <w:t xml:space="preserve">Kebudayaan </w:t>
      </w:r>
      <w:r>
        <w:t>diartikan sebagai manifestasi kehidupan setiap orang. Kebudayaan meliputi segala perbuatan manusia seperti cara ia menghayati kematian dan membuat upacara-upacara untuk menyambut peristiwa- peristiwa itu, demikian juga mengenal kelahiran, seksualitas, cara</w:t>
      </w:r>
      <w:r>
        <w:t>-cara</w:t>
      </w:r>
    </w:p>
    <w:p w:rsidR="0099578E" w:rsidRDefault="00526D5E">
      <w:pPr>
        <w:pStyle w:val="Bodytext20"/>
        <w:shd w:val="clear" w:color="auto" w:fill="auto"/>
        <w:spacing w:before="0" w:line="304" w:lineRule="exact"/>
        <w:ind w:left="1300" w:firstLine="0"/>
      </w:pPr>
      <w:r>
        <w:lastRenderedPageBreak/>
        <w:t>mengelolah makanan, cara ia membuat alat-alat, pakaian, cara-cara untuk menghiasi rumah dan badannya, juga kesenian dan ilmu pengetahuan.</w:t>
      </w:r>
      <w:r>
        <w:rPr>
          <w:vertAlign w:val="superscript"/>
        </w:rPr>
        <w:footnoteReference w:id="6"/>
      </w:r>
    </w:p>
    <w:p w:rsidR="0099578E" w:rsidRDefault="00526D5E">
      <w:pPr>
        <w:pStyle w:val="Bodytext20"/>
        <w:numPr>
          <w:ilvl w:val="0"/>
          <w:numId w:val="4"/>
        </w:numPr>
        <w:shd w:val="clear" w:color="auto" w:fill="auto"/>
        <w:tabs>
          <w:tab w:val="left" w:pos="411"/>
        </w:tabs>
        <w:spacing w:before="0" w:line="630" w:lineRule="exact"/>
        <w:ind w:left="480" w:hanging="480"/>
        <w:jc w:val="left"/>
      </w:pPr>
      <w:r>
        <w:rPr>
          <w:lang w:val="en-US" w:eastAsia="en-US" w:bidi="en-US"/>
        </w:rPr>
        <w:t xml:space="preserve">Clyde </w:t>
      </w:r>
      <w:r>
        <w:t xml:space="preserve">Kluckhohn, seperti yang diungkapkan oleh </w:t>
      </w:r>
      <w:r>
        <w:rPr>
          <w:lang w:val="en-US" w:eastAsia="en-US" w:bidi="en-US"/>
        </w:rPr>
        <w:t xml:space="preserve">Clifford </w:t>
      </w:r>
      <w:r>
        <w:t>Geertz, mendefinisikan kebudayaan sebagai berikut:</w:t>
      </w:r>
    </w:p>
    <w:p w:rsidR="0099578E" w:rsidRDefault="00526D5E">
      <w:pPr>
        <w:pStyle w:val="Bodytext20"/>
        <w:numPr>
          <w:ilvl w:val="0"/>
          <w:numId w:val="5"/>
        </w:numPr>
        <w:shd w:val="clear" w:color="auto" w:fill="auto"/>
        <w:tabs>
          <w:tab w:val="left" w:pos="1720"/>
        </w:tabs>
        <w:spacing w:before="0" w:line="630" w:lineRule="exact"/>
        <w:ind w:left="1300" w:firstLine="0"/>
      </w:pPr>
      <w:r>
        <w:t>Keseluruhan cara hidup suatu masyarakat</w:t>
      </w:r>
    </w:p>
    <w:p w:rsidR="0099578E" w:rsidRDefault="00526D5E">
      <w:pPr>
        <w:pStyle w:val="Bodytext20"/>
        <w:numPr>
          <w:ilvl w:val="0"/>
          <w:numId w:val="5"/>
        </w:numPr>
        <w:shd w:val="clear" w:color="auto" w:fill="auto"/>
        <w:tabs>
          <w:tab w:val="left" w:pos="1720"/>
        </w:tabs>
        <w:spacing w:before="0" w:line="304" w:lineRule="exact"/>
        <w:ind w:left="1300" w:firstLine="0"/>
      </w:pPr>
      <w:r>
        <w:t>Warisan sosial yang diperoleh individu dan kelompok</w:t>
      </w:r>
    </w:p>
    <w:p w:rsidR="0099578E" w:rsidRDefault="00526D5E">
      <w:pPr>
        <w:pStyle w:val="Bodytext20"/>
        <w:numPr>
          <w:ilvl w:val="0"/>
          <w:numId w:val="5"/>
        </w:numPr>
        <w:shd w:val="clear" w:color="auto" w:fill="auto"/>
        <w:tabs>
          <w:tab w:val="left" w:pos="1720"/>
        </w:tabs>
        <w:spacing w:before="0" w:line="304" w:lineRule="exact"/>
        <w:ind w:left="1300" w:firstLine="0"/>
      </w:pPr>
      <w:r>
        <w:t>Suatu cara berpikir, merasa dan percaya</w:t>
      </w:r>
    </w:p>
    <w:p w:rsidR="0099578E" w:rsidRDefault="00526D5E">
      <w:pPr>
        <w:pStyle w:val="Bodytext20"/>
        <w:numPr>
          <w:ilvl w:val="0"/>
          <w:numId w:val="5"/>
        </w:numPr>
        <w:shd w:val="clear" w:color="auto" w:fill="auto"/>
        <w:tabs>
          <w:tab w:val="left" w:pos="1720"/>
        </w:tabs>
        <w:spacing w:before="0" w:line="304" w:lineRule="exact"/>
        <w:ind w:left="1300" w:firstLine="0"/>
      </w:pPr>
      <w:r>
        <w:t>Suatu implikasi dari tingkah laku</w:t>
      </w:r>
    </w:p>
    <w:p w:rsidR="0099578E" w:rsidRDefault="00526D5E">
      <w:pPr>
        <w:pStyle w:val="Bodytext20"/>
        <w:numPr>
          <w:ilvl w:val="0"/>
          <w:numId w:val="5"/>
        </w:numPr>
        <w:shd w:val="clear" w:color="auto" w:fill="auto"/>
        <w:tabs>
          <w:tab w:val="left" w:pos="1720"/>
        </w:tabs>
        <w:spacing w:before="0" w:line="304" w:lineRule="exact"/>
        <w:ind w:left="1720" w:hanging="420"/>
        <w:jc w:val="left"/>
      </w:pPr>
      <w:r>
        <w:t>Suatu teori dari pihak antropologi tentang suatu cara kelompok masyarakatnya bertingkah la</w:t>
      </w:r>
      <w:r>
        <w:t>ku</w:t>
      </w:r>
    </w:p>
    <w:p w:rsidR="0099578E" w:rsidRDefault="00526D5E">
      <w:pPr>
        <w:pStyle w:val="Bodytext20"/>
        <w:numPr>
          <w:ilvl w:val="0"/>
          <w:numId w:val="5"/>
        </w:numPr>
        <w:shd w:val="clear" w:color="auto" w:fill="auto"/>
        <w:tabs>
          <w:tab w:val="left" w:pos="1720"/>
        </w:tabs>
        <w:spacing w:before="0" w:line="304" w:lineRule="exact"/>
        <w:ind w:left="1300" w:firstLine="0"/>
      </w:pPr>
      <w:r>
        <w:t>Suatu gudang untuk mengumpulkan hasil belajar</w:t>
      </w:r>
    </w:p>
    <w:p w:rsidR="0099578E" w:rsidRDefault="00526D5E">
      <w:pPr>
        <w:pStyle w:val="Bodytext20"/>
        <w:numPr>
          <w:ilvl w:val="0"/>
          <w:numId w:val="5"/>
        </w:numPr>
        <w:shd w:val="clear" w:color="auto" w:fill="auto"/>
        <w:tabs>
          <w:tab w:val="left" w:pos="1720"/>
        </w:tabs>
        <w:spacing w:before="0" w:line="304" w:lineRule="exact"/>
        <w:ind w:left="1300" w:firstLine="0"/>
      </w:pPr>
      <w:r>
        <w:t>Tingkah laku yang dipelajari</w:t>
      </w:r>
    </w:p>
    <w:p w:rsidR="0099578E" w:rsidRDefault="00526D5E">
      <w:pPr>
        <w:pStyle w:val="Bodytext20"/>
        <w:numPr>
          <w:ilvl w:val="0"/>
          <w:numId w:val="5"/>
        </w:numPr>
        <w:shd w:val="clear" w:color="auto" w:fill="auto"/>
        <w:tabs>
          <w:tab w:val="left" w:pos="1720"/>
        </w:tabs>
        <w:spacing w:before="0" w:line="304" w:lineRule="exact"/>
        <w:ind w:left="1300" w:firstLine="0"/>
      </w:pPr>
      <w:r>
        <w:t>Suatu mekanisme untuk penataan tingkah laku yang bersifat normatif</w:t>
      </w:r>
    </w:p>
    <w:p w:rsidR="0099578E" w:rsidRDefault="00526D5E">
      <w:pPr>
        <w:pStyle w:val="Bodytext20"/>
        <w:numPr>
          <w:ilvl w:val="0"/>
          <w:numId w:val="5"/>
        </w:numPr>
        <w:shd w:val="clear" w:color="auto" w:fill="auto"/>
        <w:tabs>
          <w:tab w:val="left" w:pos="1720"/>
        </w:tabs>
        <w:spacing w:before="0" w:line="304" w:lineRule="exact"/>
        <w:ind w:left="1720" w:hanging="420"/>
        <w:jc w:val="left"/>
      </w:pPr>
      <w:r>
        <w:t>Seperangkat teknik untuk menyesuaikan baik dengan lingkungan luar, maupun dengan orang-orang lain</w:t>
      </w:r>
    </w:p>
    <w:p w:rsidR="0099578E" w:rsidRDefault="00526D5E">
      <w:pPr>
        <w:pStyle w:val="Bodytext20"/>
        <w:numPr>
          <w:ilvl w:val="0"/>
          <w:numId w:val="5"/>
        </w:numPr>
        <w:shd w:val="clear" w:color="auto" w:fill="auto"/>
        <w:tabs>
          <w:tab w:val="left" w:pos="1720"/>
        </w:tabs>
        <w:spacing w:before="0" w:after="223" w:line="304" w:lineRule="exact"/>
        <w:ind w:left="1300" w:firstLine="0"/>
      </w:pPr>
      <w:r>
        <w:t>Suatu endapan</w:t>
      </w:r>
      <w:r>
        <w:t xml:space="preserve"> sejarah.</w:t>
      </w:r>
      <w:r>
        <w:rPr>
          <w:vertAlign w:val="superscript"/>
        </w:rPr>
        <w:footnoteReference w:id="7"/>
      </w:r>
      <w:r>
        <w:rPr>
          <w:vertAlign w:val="superscript"/>
        </w:rPr>
        <w:t xml:space="preserve"> </w:t>
      </w:r>
      <w:r>
        <w:rPr>
          <w:vertAlign w:val="superscript"/>
        </w:rPr>
        <w:footnoteReference w:id="8"/>
      </w:r>
    </w:p>
    <w:p w:rsidR="0099578E" w:rsidRDefault="00526D5E">
      <w:pPr>
        <w:pStyle w:val="Bodytext80"/>
        <w:shd w:val="clear" w:color="auto" w:fill="auto"/>
        <w:spacing w:before="0" w:line="100" w:lineRule="exact"/>
        <w:ind w:left="7920"/>
      </w:pPr>
      <w:r>
        <w:t>&lt;»</w:t>
      </w:r>
    </w:p>
    <w:p w:rsidR="0099578E" w:rsidRDefault="00526D5E">
      <w:pPr>
        <w:pStyle w:val="Bodytext20"/>
        <w:numPr>
          <w:ilvl w:val="0"/>
          <w:numId w:val="4"/>
        </w:numPr>
        <w:shd w:val="clear" w:color="auto" w:fill="auto"/>
        <w:tabs>
          <w:tab w:val="left" w:pos="411"/>
        </w:tabs>
        <w:spacing w:before="0" w:after="262" w:line="260" w:lineRule="exact"/>
        <w:ind w:firstLine="0"/>
      </w:pPr>
      <w:r>
        <w:t>J.W.M. Bekker, SJ, memberikan pengertian budaya sebagai berikut</w:t>
      </w:r>
    </w:p>
    <w:p w:rsidR="0099578E" w:rsidRDefault="00526D5E">
      <w:pPr>
        <w:pStyle w:val="Bodytext20"/>
        <w:shd w:val="clear" w:color="auto" w:fill="auto"/>
        <w:spacing w:before="0" w:after="47" w:line="304" w:lineRule="exact"/>
        <w:ind w:left="1300" w:firstLine="0"/>
      </w:pPr>
      <w:r>
        <w:t xml:space="preserve">Penciptaan, penertiban dan pengolahan nilai-nilai insani. Terlingkup di dalamnya usaha memanusiakan bahan alam mentah serta hasilnya. Dalam bahan alam, alam diri dan alam </w:t>
      </w:r>
      <w:r>
        <w:t>lingkungannya, baik fisik maupun sosial, nilai-nilai didefinisikan dan diperkembangkan sehingga sempurna. Membudayakan alam, memanusiakan hidup, menyempurnakan hubungan keinsanian merupakan kesatuan tak terdefenisikan.</w:t>
      </w:r>
    </w:p>
    <w:p w:rsidR="0099578E" w:rsidRDefault="00526D5E">
      <w:pPr>
        <w:pStyle w:val="Bodytext20"/>
        <w:shd w:val="clear" w:color="auto" w:fill="auto"/>
        <w:spacing w:before="0" w:line="546" w:lineRule="exact"/>
        <w:ind w:left="1300" w:hanging="400"/>
      </w:pPr>
      <w:r>
        <w:t>Lebih jauh, J.WM. Bakker mengemukakan</w:t>
      </w:r>
      <w:r>
        <w:t xml:space="preserve"> bahwa terdapat sejumlah definisi</w:t>
      </w:r>
    </w:p>
    <w:p w:rsidR="0099578E" w:rsidRDefault="00526D5E">
      <w:pPr>
        <w:pStyle w:val="Bodytext20"/>
        <w:shd w:val="clear" w:color="auto" w:fill="auto"/>
        <w:spacing w:before="0" w:line="546" w:lineRule="exact"/>
        <w:ind w:firstLine="0"/>
      </w:pPr>
      <w:r>
        <w:t>tentang kebudayaan yang berbeda-beda. Menurutnya, A. Kroeber dan C. Kluckhohn</w:t>
      </w:r>
    </w:p>
    <w:p w:rsidR="0099578E" w:rsidRDefault="00526D5E">
      <w:pPr>
        <w:pStyle w:val="Bodytext20"/>
        <w:shd w:val="clear" w:color="auto" w:fill="auto"/>
        <w:spacing w:before="0" w:line="546" w:lineRule="exact"/>
        <w:ind w:firstLine="0"/>
      </w:pPr>
      <w:r>
        <w:t>telah berhasil mengumpulkan 160 definisi dan mengklasifikasikannya menurut</w:t>
      </w:r>
    </w:p>
    <w:p w:rsidR="0099578E" w:rsidRDefault="00526D5E">
      <w:pPr>
        <w:pStyle w:val="Bodytext20"/>
        <w:shd w:val="clear" w:color="auto" w:fill="auto"/>
        <w:spacing w:before="0" w:line="546" w:lineRule="exact"/>
        <w:ind w:firstLine="0"/>
      </w:pPr>
      <w:r>
        <w:t>kategori pokok. Setiap disiplin ilmu memberikan definisi sebagai beri</w:t>
      </w:r>
      <w:r>
        <w:t>kut:</w:t>
      </w:r>
    </w:p>
    <w:p w:rsidR="0099578E" w:rsidRDefault="00526D5E">
      <w:pPr>
        <w:pStyle w:val="Bodytext20"/>
        <w:shd w:val="clear" w:color="auto" w:fill="auto"/>
        <w:spacing w:before="0" w:line="304" w:lineRule="exact"/>
        <w:ind w:left="1300" w:hanging="400"/>
      </w:pPr>
      <w:r>
        <w:t>1. Ahli sosiologi mengartikan kebudayaan keseluruhan kecakapan- kecakapan (adat, akhlak, kesenian, ilmu dan lain-lain) yang dimiliki manusia sebagai subyek, masyarakat.</w:t>
      </w:r>
    </w:p>
    <w:p w:rsidR="0099578E" w:rsidRDefault="00526D5E">
      <w:pPr>
        <w:pStyle w:val="Bodytext20"/>
        <w:numPr>
          <w:ilvl w:val="0"/>
          <w:numId w:val="6"/>
        </w:numPr>
        <w:shd w:val="clear" w:color="auto" w:fill="auto"/>
        <w:tabs>
          <w:tab w:val="left" w:pos="1312"/>
        </w:tabs>
        <w:spacing w:before="0" w:line="298" w:lineRule="exact"/>
        <w:ind w:left="1320" w:hanging="420"/>
        <w:jc w:val="left"/>
      </w:pPr>
      <w:r>
        <w:t xml:space="preserve">Ahli sejarah menekankan pertumbuhan kebudayaan dan mendefinisikan sebagai </w:t>
      </w:r>
      <w:r>
        <w:lastRenderedPageBreak/>
        <w:t xml:space="preserve">warisan </w:t>
      </w:r>
      <w:r>
        <w:t>sosial atau tradisi.</w:t>
      </w:r>
    </w:p>
    <w:p w:rsidR="0099578E" w:rsidRDefault="00526D5E">
      <w:pPr>
        <w:pStyle w:val="Bodytext20"/>
        <w:numPr>
          <w:ilvl w:val="0"/>
          <w:numId w:val="6"/>
        </w:numPr>
        <w:shd w:val="clear" w:color="auto" w:fill="auto"/>
        <w:tabs>
          <w:tab w:val="left" w:pos="1312"/>
        </w:tabs>
        <w:spacing w:before="0" w:line="298" w:lineRule="exact"/>
        <w:ind w:left="1320" w:hanging="420"/>
        <w:jc w:val="left"/>
      </w:pPr>
      <w:r>
        <w:t>Ahli filsafat menekankan aspek normatif, kaidah kebudayaan dan terutama pembinaan nilai dan realisasi cita-cita.</w:t>
      </w:r>
    </w:p>
    <w:p w:rsidR="0099578E" w:rsidRDefault="00526D5E">
      <w:pPr>
        <w:pStyle w:val="Bodytext20"/>
        <w:numPr>
          <w:ilvl w:val="0"/>
          <w:numId w:val="6"/>
        </w:numPr>
        <w:shd w:val="clear" w:color="auto" w:fill="auto"/>
        <w:tabs>
          <w:tab w:val="left" w:pos="1312"/>
        </w:tabs>
        <w:spacing w:before="0" w:line="298" w:lineRule="exact"/>
        <w:ind w:left="1320" w:hanging="420"/>
        <w:jc w:val="left"/>
      </w:pPr>
      <w:r>
        <w:t xml:space="preserve">Antropologi melihat kebudayaan sebagai tata hidup, </w:t>
      </w:r>
      <w:r>
        <w:rPr>
          <w:lang w:val="en-US" w:eastAsia="en-US" w:bidi="en-US"/>
        </w:rPr>
        <w:t xml:space="preserve">way of live </w:t>
      </w:r>
      <w:r>
        <w:t>- kelakuan.</w:t>
      </w:r>
    </w:p>
    <w:p w:rsidR="0099578E" w:rsidRDefault="00526D5E">
      <w:pPr>
        <w:pStyle w:val="Bodytext20"/>
        <w:numPr>
          <w:ilvl w:val="0"/>
          <w:numId w:val="6"/>
        </w:numPr>
        <w:shd w:val="clear" w:color="auto" w:fill="auto"/>
        <w:tabs>
          <w:tab w:val="left" w:pos="1312"/>
        </w:tabs>
        <w:spacing w:before="0" w:line="298" w:lineRule="exact"/>
        <w:ind w:left="1320" w:hanging="420"/>
        <w:jc w:val="left"/>
      </w:pPr>
      <w:r>
        <w:t>Psikologi mendekati kebudayaan dari segi penyes</w:t>
      </w:r>
      <w:r>
        <w:t xml:space="preserve">uaian </w:t>
      </w:r>
      <w:r>
        <w:rPr>
          <w:lang w:val="en-US" w:eastAsia="en-US" w:bidi="en-US"/>
        </w:rPr>
        <w:t xml:space="preserve">(adjustment) </w:t>
      </w:r>
      <w:r>
        <w:t>manusia kepada alam sekelilingnya, kepada syarat-syarat hidup.</w:t>
      </w:r>
      <w:r>
        <w:rPr>
          <w:vertAlign w:val="superscript"/>
        </w:rPr>
        <w:footnoteReference w:id="9"/>
      </w:r>
    </w:p>
    <w:p w:rsidR="0099578E" w:rsidRDefault="00526D5E">
      <w:pPr>
        <w:pStyle w:val="Bodytext20"/>
        <w:shd w:val="clear" w:color="auto" w:fill="auto"/>
        <w:spacing w:before="0" w:after="514" w:line="602" w:lineRule="exact"/>
        <w:ind w:firstLine="900"/>
      </w:pPr>
      <w:r>
        <w:t xml:space="preserve">Dari pengertian-pengertian di atas, maka dapat ditarik suatu kesimpulan bahwa adat dan kebudayaan adalah kebiasaan-kebiasaan yang sudah mengakar di kalangan masyarakat yang </w:t>
      </w:r>
      <w:r>
        <w:t>berbudaya, yakni hasil kegiatan dan penciptaan batin dan akal budi misalnya dalam hal kesenian, hukum-hukum adat, ekonomi dan kehidupan sosial.</w:t>
      </w:r>
    </w:p>
    <w:p w:rsidR="0099578E" w:rsidRDefault="00526D5E">
      <w:pPr>
        <w:pStyle w:val="Heading10"/>
        <w:keepNext/>
        <w:keepLines/>
        <w:shd w:val="clear" w:color="auto" w:fill="auto"/>
        <w:spacing w:before="0" w:after="324" w:line="260" w:lineRule="exact"/>
        <w:ind w:firstLine="900"/>
        <w:jc w:val="both"/>
      </w:pPr>
      <w:bookmarkStart w:id="4" w:name="bookmark3"/>
      <w:r>
        <w:t>b. Pengertian Ada’ Menurut Masyarakat Pitu Ulunna Salu</w:t>
      </w:r>
      <w:bookmarkEnd w:id="4"/>
    </w:p>
    <w:p w:rsidR="0099578E" w:rsidRDefault="00526D5E">
      <w:pPr>
        <w:pStyle w:val="Bodytext20"/>
        <w:shd w:val="clear" w:color="auto" w:fill="auto"/>
        <w:spacing w:before="0" w:line="602" w:lineRule="exact"/>
        <w:ind w:firstLine="900"/>
      </w:pPr>
      <w:r>
        <w:rPr>
          <w:rStyle w:val="Bodytext2Italic"/>
        </w:rPr>
        <w:t>Ada’</w:t>
      </w:r>
      <w:r>
        <w:t xml:space="preserve"> dalam pemahaman masyarakat di Pitu Ulunna Salu, sela</w:t>
      </w:r>
      <w:r>
        <w:t xml:space="preserve">in dipahami sebagai suatu tradisi atau adat - kebudayan, tetapi </w:t>
      </w:r>
      <w:r>
        <w:rPr>
          <w:rStyle w:val="Bodytext2Italic"/>
        </w:rPr>
        <w:t>ada’</w:t>
      </w:r>
      <w:r>
        <w:t xml:space="preserve"> juga dij&gt;ahami dalam pengertian lain, yakni </w:t>
      </w:r>
      <w:r>
        <w:rPr>
          <w:rStyle w:val="Bodytext2Italic"/>
        </w:rPr>
        <w:t>ada’</w:t>
      </w:r>
      <w:r>
        <w:t xml:space="preserve"> menunjuk pada seseorang dan atau sekelompok orang yang diangkat melalui musyawarah.</w:t>
      </w:r>
      <w:r>
        <w:rPr>
          <w:vertAlign w:val="superscript"/>
        </w:rPr>
        <w:footnoteReference w:id="10"/>
      </w:r>
      <w:r>
        <w:rPr>
          <w:vertAlign w:val="superscript"/>
        </w:rPr>
        <w:t xml:space="preserve"> </w:t>
      </w:r>
      <w:r>
        <w:rPr>
          <w:vertAlign w:val="superscript"/>
        </w:rPr>
        <w:footnoteReference w:id="11"/>
      </w:r>
      <w:r>
        <w:t xml:space="preserve"> Seseorang atau sekelompok orang ini diberi gelar se</w:t>
      </w:r>
      <w:r>
        <w:t xml:space="preserve">bagai </w:t>
      </w:r>
      <w:r>
        <w:rPr>
          <w:rStyle w:val="Bodytext2Italic"/>
        </w:rPr>
        <w:t>ada’</w:t>
      </w:r>
      <w:r>
        <w:t xml:space="preserve"> atau dewan hadat atau Majelis. Dalam Kamus Bahasa Toradja - Indonesia, </w:t>
      </w:r>
      <w:r>
        <w:rPr>
          <w:rStyle w:val="Bodytext2Italic"/>
        </w:rPr>
        <w:t>ada</w:t>
      </w:r>
      <w:r>
        <w:t>’ diberi pengertian sebagai berikut:</w:t>
      </w:r>
    </w:p>
    <w:p w:rsidR="0099578E" w:rsidRDefault="00526D5E">
      <w:pPr>
        <w:pStyle w:val="Bodytext20"/>
        <w:shd w:val="clear" w:color="auto" w:fill="auto"/>
        <w:spacing w:before="0" w:line="298" w:lineRule="exact"/>
        <w:ind w:left="1700" w:right="5500"/>
        <w:jc w:val="left"/>
      </w:pPr>
      <w:r>
        <w:rPr>
          <w:rStyle w:val="Bodytext2Italic"/>
        </w:rPr>
        <w:t>Ada</w:t>
      </w:r>
      <w:r>
        <w:t>': a. Gelar Kepala Hadat b. Anggota dewan</w:t>
      </w:r>
    </w:p>
    <w:p w:rsidR="0099578E" w:rsidRDefault="00526D5E">
      <w:pPr>
        <w:pStyle w:val="Bodytext20"/>
        <w:shd w:val="clear" w:color="auto" w:fill="auto"/>
        <w:spacing w:before="0" w:line="298" w:lineRule="exact"/>
        <w:ind w:left="1700" w:firstLine="0"/>
      </w:pPr>
      <w:r>
        <w:t xml:space="preserve">c </w:t>
      </w:r>
      <w:r>
        <w:rPr>
          <w:rStyle w:val="Bodytext2Italic"/>
        </w:rPr>
        <w:t>Ada ’ Kampung</w:t>
      </w:r>
      <w:r>
        <w:t xml:space="preserve"> - anggota dewan dalam kampung</w:t>
      </w:r>
    </w:p>
    <w:p w:rsidR="0099578E" w:rsidRDefault="00526D5E">
      <w:pPr>
        <w:pStyle w:val="Bodytext20"/>
        <w:numPr>
          <w:ilvl w:val="0"/>
          <w:numId w:val="4"/>
        </w:numPr>
        <w:shd w:val="clear" w:color="auto" w:fill="auto"/>
        <w:tabs>
          <w:tab w:val="left" w:pos="2045"/>
        </w:tabs>
        <w:spacing w:before="0" w:line="298" w:lineRule="exact"/>
        <w:ind w:left="1700" w:firstLine="0"/>
      </w:pPr>
      <w:r>
        <w:rPr>
          <w:rStyle w:val="Bodytext2Italic"/>
        </w:rPr>
        <w:t>Ada ’ lompo</w:t>
      </w:r>
      <w:r>
        <w:t xml:space="preserve"> = adat agung, anggota dewan besar. </w:t>
      </w:r>
      <w:r>
        <w:rPr>
          <w:vertAlign w:val="superscript"/>
        </w:rPr>
        <w:t>1</w:t>
      </w:r>
    </w:p>
    <w:p w:rsidR="0099578E" w:rsidRDefault="00526D5E">
      <w:pPr>
        <w:pStyle w:val="Bodytext20"/>
        <w:shd w:val="clear" w:color="auto" w:fill="auto"/>
        <w:spacing w:before="0" w:line="613" w:lineRule="exact"/>
        <w:ind w:firstLine="900"/>
      </w:pPr>
      <w:r>
        <w:t>Motivasi pembentukan dewan hadat dalam masyarakat di Pitu Ulunna Salu, didasarkan pada fungsi dan kedudukan dewan hadat tersebut dalam masyarakat. Dewan hadat berfungsi sebagai penetralisir dan pengayom dalam masyaraka</w:t>
      </w:r>
      <w:r>
        <w:t>t. Dewan hadatlah yang berperan aktif menyelesaikan setiap kasus-kasus atau masalah-masalah yang terjadi dalam masyarakat.</w:t>
      </w:r>
    </w:p>
    <w:p w:rsidR="0099578E" w:rsidRDefault="00526D5E">
      <w:pPr>
        <w:pStyle w:val="Bodytext20"/>
        <w:shd w:val="clear" w:color="auto" w:fill="auto"/>
        <w:spacing w:before="0" w:line="613" w:lineRule="exact"/>
        <w:ind w:firstLine="900"/>
      </w:pPr>
      <w:r>
        <w:lastRenderedPageBreak/>
        <w:t xml:space="preserve">Kalau ada anggota masyarakat yang berselisih, maka peran </w:t>
      </w:r>
      <w:r>
        <w:rPr>
          <w:rStyle w:val="Bodytext2Italic"/>
        </w:rPr>
        <w:t>ada’</w:t>
      </w:r>
      <w:r>
        <w:t xml:space="preserve"> (dewan hadat) sangat dibutuhkan, karena bukan masyarakat yang berselisih tersebut yang saling berhadap-hadapan menyelesaikan kasusnya, tetapi dewan hadatlah yang berada di tengah dan memberi serta mengupayakan penyelesaiannya dengan seadil-adilnya. Dalam </w:t>
      </w:r>
      <w:r>
        <w:t xml:space="preserve">peran </w:t>
      </w:r>
      <w:r>
        <w:rPr>
          <w:rStyle w:val="Bodytext2Italic"/>
        </w:rPr>
        <w:t>ada’</w:t>
      </w:r>
      <w:r>
        <w:t xml:space="preserve"> seperti ini, muncul istilah yang berkenaan dengan peran dewan hadat yakni: “maka’ muitamiki’ balumbunganna ada’, yatuwo tammate, mapia tangkadake”. Arti dari istilah ini adalah: jika suatu masalah terjadi dalam masyarakat dan masalah tersebut su</w:t>
      </w:r>
      <w:r>
        <w:t>dah ditangani oleh dewan hadat maka seburuk apapun masalah itu pasti akhirnya akan baik karena sudah ditangani dewan hadat</w:t>
      </w:r>
    </w:p>
    <w:p w:rsidR="0099578E" w:rsidRDefault="00526D5E">
      <w:pPr>
        <w:pStyle w:val="Bodytext20"/>
        <w:shd w:val="clear" w:color="auto" w:fill="auto"/>
        <w:spacing w:before="0" w:line="613" w:lineRule="exact"/>
        <w:ind w:firstLine="900"/>
      </w:pPr>
      <w:r>
        <w:t xml:space="preserve">Dari peran </w:t>
      </w:r>
      <w:r>
        <w:rPr>
          <w:rStyle w:val="Bodytext2Italic"/>
        </w:rPr>
        <w:t>ada ’</w:t>
      </w:r>
      <w:r>
        <w:t xml:space="preserve"> inilah, yakni kemampuan </w:t>
      </w:r>
      <w:r>
        <w:rPr>
          <w:rStyle w:val="Bodytext2Italic"/>
        </w:rPr>
        <w:t>ada'</w:t>
      </w:r>
      <w:r>
        <w:t xml:space="preserve"> mengolah masalah dari yang buruk menjadi baik, memunculkan istilah: ”Ada’ Tuo”. Jadi se</w:t>
      </w:r>
      <w:r>
        <w:t xml:space="preserve">benarnya, </w:t>
      </w:r>
      <w:r>
        <w:rPr>
          <w:rStyle w:val="Bodytext2Italic"/>
        </w:rPr>
        <w:t xml:space="preserve">Ada’ Tuo </w:t>
      </w:r>
      <w:r>
        <w:t>menunjuk pada peran dan tanggung jawab dewan hadat dalam menyelesaikan masalah-masalah masyarakat.</w:t>
      </w:r>
    </w:p>
    <w:p w:rsidR="0099578E" w:rsidRDefault="00526D5E">
      <w:pPr>
        <w:pStyle w:val="Bodytext20"/>
        <w:shd w:val="clear" w:color="auto" w:fill="auto"/>
        <w:spacing w:before="0" w:line="613" w:lineRule="exact"/>
        <w:ind w:firstLine="900"/>
      </w:pPr>
      <w:r>
        <w:t>Dewan hadat dalam upayanya menyelesaikan masalah-masalah dalam masyarakat dituntut untuk mampu meneliti setiap kasus yang terjadi. Sebelum</w:t>
      </w:r>
      <w:r>
        <w:t xml:space="preserve"> </w:t>
      </w:r>
      <w:r>
        <w:rPr>
          <w:rStyle w:val="Bodytext2Italic"/>
        </w:rPr>
        <w:t xml:space="preserve">ada’ </w:t>
      </w:r>
      <w:r>
        <w:t xml:space="preserve">menjalankan tugasnya, </w:t>
      </w:r>
      <w:r>
        <w:rPr>
          <w:rStyle w:val="Bodytext2Italic"/>
        </w:rPr>
        <w:t>ada’</w:t>
      </w:r>
      <w:r>
        <w:t xml:space="preserve"> harus disumpah terlebih dahulu. Dalam kapasitasnya sebagai “Tomarroto”’, (mereka yang mengadili) mereka harus disumpah. Isi sumpahnya sebagai berikut: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14"/>
        <w:gridCol w:w="4894"/>
      </w:tblGrid>
      <w:tr w:rsidR="0099578E">
        <w:tblPrEx>
          <w:tblCellMar>
            <w:top w:w="0" w:type="dxa"/>
            <w:bottom w:w="0" w:type="dxa"/>
          </w:tblCellMar>
        </w:tblPrEx>
        <w:trPr>
          <w:trHeight w:hRule="exact" w:val="461"/>
          <w:jc w:val="center"/>
        </w:trPr>
        <w:tc>
          <w:tcPr>
            <w:tcW w:w="4714" w:type="dxa"/>
            <w:shd w:val="clear" w:color="auto" w:fill="FFFFFF"/>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“Tama’bija, tama’ sangngana”</w:t>
            </w:r>
          </w:p>
        </w:tc>
        <w:tc>
          <w:tcPr>
            <w:tcW w:w="4894" w:type="dxa"/>
            <w:shd w:val="clear" w:color="auto" w:fill="FFFFFF"/>
          </w:tcPr>
          <w:p w:rsidR="0099578E" w:rsidRDefault="00526D5E">
            <w:pPr>
              <w:pStyle w:val="Bodytext20"/>
              <w:framePr w:w="9608" w:wrap="notBeside" w:vAnchor="text" w:hAnchor="text" w:xAlign="center" w:y="1"/>
              <w:shd w:val="clear" w:color="auto" w:fill="auto"/>
              <w:spacing w:before="0" w:line="260" w:lineRule="exact"/>
              <w:ind w:left="280" w:firstLine="0"/>
              <w:jc w:val="left"/>
            </w:pPr>
            <w:r>
              <w:rPr>
                <w:rStyle w:val="Bodytext21"/>
              </w:rPr>
              <w:t>= Tidak boleh memihak</w:t>
            </w:r>
          </w:p>
        </w:tc>
      </w:tr>
      <w:tr w:rsidR="0099578E">
        <w:tblPrEx>
          <w:tblCellMar>
            <w:top w:w="0" w:type="dxa"/>
            <w:bottom w:w="0" w:type="dxa"/>
          </w:tblCellMar>
        </w:tblPrEx>
        <w:trPr>
          <w:trHeight w:hRule="exact" w:val="602"/>
          <w:jc w:val="center"/>
        </w:trPr>
        <w:tc>
          <w:tcPr>
            <w:tcW w:w="471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 xml:space="preserve">"Tatuppe anna </w:t>
            </w:r>
            <w:r>
              <w:rPr>
                <w:rStyle w:val="Bodytext21"/>
              </w:rPr>
              <w:t>tarimba”</w:t>
            </w:r>
          </w:p>
        </w:tc>
        <w:tc>
          <w:tcPr>
            <w:tcW w:w="489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280" w:firstLine="0"/>
              <w:jc w:val="left"/>
            </w:pPr>
            <w:r>
              <w:rPr>
                <w:rStyle w:val="Bodytext21"/>
              </w:rPr>
              <w:t>= Tidak boleh mendendam</w:t>
            </w:r>
          </w:p>
        </w:tc>
      </w:tr>
      <w:tr w:rsidR="0099578E">
        <w:tblPrEx>
          <w:tblCellMar>
            <w:top w:w="0" w:type="dxa"/>
            <w:bottom w:w="0" w:type="dxa"/>
          </w:tblCellMar>
        </w:tblPrEx>
        <w:trPr>
          <w:trHeight w:hRule="exact" w:val="619"/>
          <w:jc w:val="center"/>
        </w:trPr>
        <w:tc>
          <w:tcPr>
            <w:tcW w:w="471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“Tamailo tamatinna”</w:t>
            </w:r>
          </w:p>
        </w:tc>
        <w:tc>
          <w:tcPr>
            <w:tcW w:w="489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280" w:firstLine="0"/>
              <w:jc w:val="left"/>
            </w:pPr>
            <w:r>
              <w:rPr>
                <w:rStyle w:val="Bodytext21"/>
              </w:rPr>
              <w:t>= Tidak boleh ada maksud mengingini</w:t>
            </w:r>
          </w:p>
        </w:tc>
      </w:tr>
      <w:tr w:rsidR="0099578E">
        <w:tblPrEx>
          <w:tblCellMar>
            <w:top w:w="0" w:type="dxa"/>
            <w:bottom w:w="0" w:type="dxa"/>
          </w:tblCellMar>
        </w:tblPrEx>
        <w:trPr>
          <w:trHeight w:hRule="exact" w:val="602"/>
          <w:jc w:val="center"/>
        </w:trPr>
        <w:tc>
          <w:tcPr>
            <w:tcW w:w="471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’’Tamala pa awi’-awi’”</w:t>
            </w:r>
          </w:p>
        </w:tc>
        <w:tc>
          <w:tcPr>
            <w:tcW w:w="489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280" w:firstLine="0"/>
              <w:jc w:val="left"/>
            </w:pPr>
            <w:r>
              <w:rPr>
                <w:rStyle w:val="Bodytext21"/>
              </w:rPr>
              <w:t>= Tidak boleh balas dendam/sentimen</w:t>
            </w:r>
          </w:p>
        </w:tc>
      </w:tr>
      <w:tr w:rsidR="0099578E">
        <w:tblPrEx>
          <w:tblCellMar>
            <w:top w:w="0" w:type="dxa"/>
            <w:bottom w:w="0" w:type="dxa"/>
          </w:tblCellMar>
        </w:tblPrEx>
        <w:trPr>
          <w:trHeight w:hRule="exact" w:val="613"/>
          <w:jc w:val="center"/>
        </w:trPr>
        <w:tc>
          <w:tcPr>
            <w:tcW w:w="471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‘Tae’ sipake pui’ anna siriate”</w:t>
            </w:r>
          </w:p>
        </w:tc>
        <w:tc>
          <w:tcPr>
            <w:tcW w:w="489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280" w:firstLine="0"/>
              <w:jc w:val="left"/>
            </w:pPr>
            <w:r>
              <w:rPr>
                <w:rStyle w:val="Bodytext21"/>
              </w:rPr>
              <w:t>= Harus jujur</w:t>
            </w:r>
          </w:p>
        </w:tc>
      </w:tr>
      <w:tr w:rsidR="0099578E">
        <w:tblPrEx>
          <w:tblCellMar>
            <w:top w:w="0" w:type="dxa"/>
            <w:bottom w:w="0" w:type="dxa"/>
          </w:tblCellMar>
        </w:tblPrEx>
        <w:trPr>
          <w:trHeight w:hRule="exact" w:val="467"/>
          <w:jc w:val="center"/>
        </w:trPr>
        <w:tc>
          <w:tcPr>
            <w:tcW w:w="4714" w:type="dxa"/>
            <w:shd w:val="clear" w:color="auto" w:fill="FFFFFF"/>
            <w:vAlign w:val="bottom"/>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”Tae’ sipake sa’bi tatappa’</w:t>
            </w:r>
          </w:p>
        </w:tc>
        <w:tc>
          <w:tcPr>
            <w:tcW w:w="4894" w:type="dxa"/>
            <w:shd w:val="clear" w:color="auto" w:fill="FFFFFF"/>
            <w:vAlign w:val="bottom"/>
          </w:tcPr>
          <w:p w:rsidR="0099578E" w:rsidRDefault="00526D5E">
            <w:pPr>
              <w:pStyle w:val="Bodytext20"/>
              <w:framePr w:w="9608" w:wrap="notBeside" w:vAnchor="text" w:hAnchor="text" w:xAlign="center" w:y="1"/>
              <w:shd w:val="clear" w:color="auto" w:fill="auto"/>
              <w:spacing w:before="0" w:line="260" w:lineRule="exact"/>
              <w:ind w:left="280" w:firstLine="0"/>
              <w:jc w:val="left"/>
            </w:pPr>
            <w:r>
              <w:rPr>
                <w:rStyle w:val="Bodytext21"/>
              </w:rPr>
              <w:t>= Tidak boleh berbohong</w:t>
            </w:r>
          </w:p>
        </w:tc>
      </w:tr>
    </w:tbl>
    <w:p w:rsidR="0099578E" w:rsidRDefault="0099578E">
      <w:pPr>
        <w:framePr w:w="9608" w:wrap="notBeside" w:vAnchor="text" w:hAnchor="text" w:xAlign="center" w:y="1"/>
        <w:rPr>
          <w:sz w:val="2"/>
          <w:szCs w:val="2"/>
        </w:rPr>
      </w:pPr>
    </w:p>
    <w:p w:rsidR="0099578E" w:rsidRDefault="0099578E">
      <w:pPr>
        <w:rPr>
          <w:sz w:val="2"/>
          <w:szCs w:val="2"/>
        </w:rPr>
      </w:pPr>
    </w:p>
    <w:p w:rsidR="0099578E" w:rsidRDefault="00526D5E">
      <w:pPr>
        <w:pStyle w:val="Bodytext20"/>
        <w:shd w:val="clear" w:color="auto" w:fill="auto"/>
        <w:spacing w:before="38"/>
        <w:ind w:firstLine="880"/>
      </w:pPr>
      <w:r>
        <w:t xml:space="preserve">Demikianlah </w:t>
      </w:r>
      <w:r>
        <w:rPr>
          <w:rStyle w:val="Bodytext2Italic"/>
        </w:rPr>
        <w:t>ada’</w:t>
      </w:r>
      <w:r>
        <w:t xml:space="preserve"> dalam menjalankan perannya dalam masyarakat harus </w:t>
      </w:r>
      <w:r>
        <w:lastRenderedPageBreak/>
        <w:t xml:space="preserve">memperhatikan isi sumpah di atas, karena ada konsekwensi yang akan diterima, jika </w:t>
      </w:r>
      <w:r>
        <w:rPr>
          <w:rStyle w:val="Bodytext2Italic"/>
        </w:rPr>
        <w:t>ada’</w:t>
      </w:r>
      <w:r>
        <w:t xml:space="preserve"> menyimpang dari ketentuan. Ketentuan yang sudah ditetapkan/ketetapan adat. Menurut tradisi yang dipaha</w:t>
      </w:r>
      <w:r>
        <w:t>mi oleh masyarakat di Pitu Ulunna Salu, bahwa jika hadat tidak mematuhi segala sumpahnya, maka akan muncul masalah yang lebih parah seperti:</w:t>
      </w:r>
    </w:p>
    <w:p w:rsidR="0099578E" w:rsidRDefault="00526D5E">
      <w:pPr>
        <w:pStyle w:val="Bodytext20"/>
        <w:shd w:val="clear" w:color="auto" w:fill="auto"/>
        <w:spacing w:before="0"/>
        <w:ind w:firstLine="880"/>
      </w:pPr>
      <w:r>
        <w:rPr>
          <w:lang w:val="en-US" w:eastAsia="en-US" w:bidi="en-US"/>
        </w:rPr>
        <w:t xml:space="preserve">’’Dalle </w:t>
      </w:r>
      <w:r>
        <w:t>dadi tabang, pare dadi rea” = Jagung jadi tabang, padi jadi alang-alang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14"/>
        <w:gridCol w:w="4894"/>
      </w:tblGrid>
      <w:tr w:rsidR="0099578E">
        <w:tblPrEx>
          <w:tblCellMar>
            <w:top w:w="0" w:type="dxa"/>
            <w:bottom w:w="0" w:type="dxa"/>
          </w:tblCellMar>
        </w:tblPrEx>
        <w:trPr>
          <w:trHeight w:hRule="exact" w:val="444"/>
          <w:jc w:val="center"/>
        </w:trPr>
        <w:tc>
          <w:tcPr>
            <w:tcW w:w="4714" w:type="dxa"/>
            <w:shd w:val="clear" w:color="auto" w:fill="FFFFFF"/>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“Tatuwo lamu-lamungan”</w:t>
            </w:r>
          </w:p>
        </w:tc>
        <w:tc>
          <w:tcPr>
            <w:tcW w:w="4894" w:type="dxa"/>
            <w:shd w:val="clear" w:color="auto" w:fill="FFFFFF"/>
          </w:tcPr>
          <w:p w:rsidR="0099578E" w:rsidRDefault="00526D5E">
            <w:pPr>
              <w:pStyle w:val="Bodytext20"/>
              <w:framePr w:w="9608" w:wrap="notBeside" w:vAnchor="text" w:hAnchor="text" w:xAlign="center" w:y="1"/>
              <w:shd w:val="clear" w:color="auto" w:fill="auto"/>
              <w:spacing w:before="0" w:line="260" w:lineRule="exact"/>
              <w:ind w:firstLine="0"/>
              <w:jc w:val="left"/>
            </w:pPr>
            <w:r>
              <w:rPr>
                <w:rStyle w:val="Bodytext21"/>
              </w:rPr>
              <w:t xml:space="preserve">= Semua </w:t>
            </w:r>
            <w:r>
              <w:rPr>
                <w:rStyle w:val="Bodytext21"/>
              </w:rPr>
              <w:t>tanaman layu dan mati</w:t>
            </w:r>
          </w:p>
        </w:tc>
      </w:tr>
      <w:tr w:rsidR="0099578E">
        <w:tblPrEx>
          <w:tblCellMar>
            <w:top w:w="0" w:type="dxa"/>
            <w:bottom w:w="0" w:type="dxa"/>
          </w:tblCellMar>
        </w:tblPrEx>
        <w:trPr>
          <w:trHeight w:hRule="exact" w:val="579"/>
          <w:jc w:val="center"/>
        </w:trPr>
        <w:tc>
          <w:tcPr>
            <w:tcW w:w="471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“Mengngalloan ulu ma’rupa tau”</w:t>
            </w:r>
          </w:p>
        </w:tc>
        <w:tc>
          <w:tcPr>
            <w:tcW w:w="489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firstLine="0"/>
              <w:jc w:val="left"/>
            </w:pPr>
            <w:r>
              <w:rPr>
                <w:rStyle w:val="Bodytext21"/>
              </w:rPr>
              <w:t>= Manusia jatuh sakit</w:t>
            </w:r>
          </w:p>
        </w:tc>
      </w:tr>
      <w:tr w:rsidR="0099578E">
        <w:tblPrEx>
          <w:tblCellMar>
            <w:top w:w="0" w:type="dxa"/>
            <w:bottom w:w="0" w:type="dxa"/>
          </w:tblCellMar>
        </w:tblPrEx>
        <w:trPr>
          <w:trHeight w:hRule="exact" w:val="574"/>
          <w:jc w:val="center"/>
        </w:trPr>
        <w:tc>
          <w:tcPr>
            <w:tcW w:w="471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lang w:val="en-US" w:eastAsia="en-US" w:bidi="en-US"/>
              </w:rPr>
              <w:t xml:space="preserve">“Male </w:t>
            </w:r>
            <w:r>
              <w:rPr>
                <w:rStyle w:val="Bodytext21"/>
              </w:rPr>
              <w:t>pelamungan”</w:t>
            </w:r>
          </w:p>
        </w:tc>
        <w:tc>
          <w:tcPr>
            <w:tcW w:w="489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firstLine="0"/>
              <w:jc w:val="left"/>
            </w:pPr>
            <w:r>
              <w:rPr>
                <w:rStyle w:val="Bodytext21"/>
              </w:rPr>
              <w:t>= Kuburan terdapat di sana-sini</w:t>
            </w:r>
          </w:p>
        </w:tc>
      </w:tr>
      <w:tr w:rsidR="0099578E">
        <w:tblPrEx>
          <w:tblCellMar>
            <w:top w:w="0" w:type="dxa"/>
            <w:bottom w:w="0" w:type="dxa"/>
          </w:tblCellMar>
        </w:tblPrEx>
        <w:trPr>
          <w:trHeight w:hRule="exact" w:val="585"/>
          <w:jc w:val="center"/>
        </w:trPr>
        <w:tc>
          <w:tcPr>
            <w:tcW w:w="471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’’Kende’ takende-kendesan bisara</w:t>
            </w:r>
          </w:p>
        </w:tc>
        <w:tc>
          <w:tcPr>
            <w:tcW w:w="4894" w:type="dxa"/>
            <w:shd w:val="clear" w:color="auto" w:fill="FFFFFF"/>
            <w:vAlign w:val="center"/>
          </w:tcPr>
          <w:p w:rsidR="0099578E" w:rsidRDefault="00526D5E">
            <w:pPr>
              <w:pStyle w:val="Bodytext20"/>
              <w:framePr w:w="9608" w:wrap="notBeside" w:vAnchor="text" w:hAnchor="text" w:xAlign="center" w:y="1"/>
              <w:shd w:val="clear" w:color="auto" w:fill="auto"/>
              <w:spacing w:before="0" w:line="260" w:lineRule="exact"/>
              <w:ind w:firstLine="0"/>
              <w:jc w:val="left"/>
            </w:pPr>
            <w:r>
              <w:rPr>
                <w:rStyle w:val="Bodytext21"/>
              </w:rPr>
              <w:t>= Masalah dalam kampung bermunculan</w:t>
            </w:r>
          </w:p>
        </w:tc>
      </w:tr>
      <w:tr w:rsidR="0099578E">
        <w:tblPrEx>
          <w:tblCellMar>
            <w:top w:w="0" w:type="dxa"/>
            <w:bottom w:w="0" w:type="dxa"/>
          </w:tblCellMar>
        </w:tblPrEx>
        <w:trPr>
          <w:trHeight w:hRule="exact" w:val="461"/>
          <w:jc w:val="center"/>
        </w:trPr>
        <w:tc>
          <w:tcPr>
            <w:tcW w:w="4714" w:type="dxa"/>
            <w:shd w:val="clear" w:color="auto" w:fill="FFFFFF"/>
            <w:vAlign w:val="bottom"/>
          </w:tcPr>
          <w:p w:rsidR="0099578E" w:rsidRDefault="00526D5E">
            <w:pPr>
              <w:pStyle w:val="Bodytext20"/>
              <w:framePr w:w="9608" w:wrap="notBeside" w:vAnchor="text" w:hAnchor="text" w:xAlign="center" w:y="1"/>
              <w:shd w:val="clear" w:color="auto" w:fill="auto"/>
              <w:spacing w:before="0" w:line="260" w:lineRule="exact"/>
              <w:ind w:left="880" w:firstLine="0"/>
              <w:jc w:val="left"/>
            </w:pPr>
            <w:r>
              <w:rPr>
                <w:rStyle w:val="Bodytext21"/>
              </w:rPr>
              <w:t>anna, daullawuan tadongkongan”.</w:t>
            </w:r>
          </w:p>
        </w:tc>
        <w:tc>
          <w:tcPr>
            <w:tcW w:w="4894" w:type="dxa"/>
            <w:shd w:val="clear" w:color="auto" w:fill="FFFFFF"/>
            <w:vAlign w:val="bottom"/>
          </w:tcPr>
          <w:p w:rsidR="0099578E" w:rsidRDefault="00526D5E">
            <w:pPr>
              <w:pStyle w:val="Bodytext20"/>
              <w:framePr w:w="9608" w:wrap="notBeside" w:vAnchor="text" w:hAnchor="text" w:xAlign="center" w:y="1"/>
              <w:shd w:val="clear" w:color="auto" w:fill="auto"/>
              <w:spacing w:before="0" w:line="260" w:lineRule="exact"/>
              <w:ind w:left="220" w:firstLine="0"/>
              <w:jc w:val="left"/>
            </w:pPr>
            <w:r>
              <w:rPr>
                <w:rStyle w:val="Bodytext21"/>
              </w:rPr>
              <w:t xml:space="preserve">sehingga kampung </w:t>
            </w:r>
            <w:r>
              <w:rPr>
                <w:rStyle w:val="Bodytext21"/>
              </w:rPr>
              <w:t>ditinggalkan</w:t>
            </w:r>
          </w:p>
        </w:tc>
      </w:tr>
    </w:tbl>
    <w:p w:rsidR="0099578E" w:rsidRDefault="0099578E">
      <w:pPr>
        <w:framePr w:w="9608" w:wrap="notBeside" w:vAnchor="text" w:hAnchor="text" w:xAlign="center" w:y="1"/>
        <w:rPr>
          <w:sz w:val="2"/>
          <w:szCs w:val="2"/>
        </w:rPr>
      </w:pPr>
    </w:p>
    <w:p w:rsidR="0099578E" w:rsidRDefault="0099578E">
      <w:pPr>
        <w:rPr>
          <w:sz w:val="2"/>
          <w:szCs w:val="2"/>
        </w:rPr>
      </w:pPr>
    </w:p>
    <w:p w:rsidR="0099578E" w:rsidRDefault="00526D5E">
      <w:pPr>
        <w:pStyle w:val="Bodytext20"/>
        <w:shd w:val="clear" w:color="auto" w:fill="auto"/>
        <w:spacing w:before="11" w:line="608" w:lineRule="exact"/>
        <w:ind w:firstLine="880"/>
      </w:pPr>
      <w:r>
        <w:t xml:space="preserve">Arti dari hal di atas adalah: Jika </w:t>
      </w:r>
      <w:r>
        <w:rPr>
          <w:rStyle w:val="Bodytext2Italic"/>
        </w:rPr>
        <w:t>ada'</w:t>
      </w:r>
      <w:r>
        <w:t xml:space="preserve"> tidak mampu menunjukkan keadilan dalam setiap kasus yang terjadi, dalam artian dewan hadat bersikap memihak, mendendam, mengingini, sentimen, tidak jujur ataupun berbohong, maka akibat yang ditimbulkan sangatlah fatal karena baik tanaman, hewan dan manusi</w:t>
      </w:r>
      <w:r>
        <w:t>a yang ada dalam daerah itu lambat laun akan habis, kelaparan akan melanda, banyak orang meninggal dan pada akhirnya kampung akan sepi karena tidak berpenghuni lagi.</w:t>
      </w:r>
    </w:p>
    <w:p w:rsidR="0099578E" w:rsidRDefault="00526D5E">
      <w:pPr>
        <w:pStyle w:val="Bodytext20"/>
        <w:shd w:val="clear" w:color="auto" w:fill="auto"/>
        <w:spacing w:before="0" w:line="602" w:lineRule="exact"/>
        <w:ind w:firstLine="880"/>
      </w:pPr>
      <w:r>
        <w:t>Tetapi sebaliknya, jika dewan hadat mampu meneyelesaikan setiap masalah dalam masyarakat d</w:t>
      </w:r>
      <w:r>
        <w:t>engan seadil-adilnya seperti bersikap tidak memihak, tidak ada keinginan untuk balas dendam, jujur, tidak ada kepentingan-kepentingan tertentu sehingga berbohong dan lain-lain, maka akan muncul dengan sendirinya kebaikan- kebaikan dalam masyarakat. Kebaika</w:t>
      </w:r>
      <w:r>
        <w:t>n-kebaikan itu berupa:</w:t>
      </w:r>
    </w:p>
    <w:p w:rsidR="0099578E" w:rsidRDefault="00526D5E">
      <w:pPr>
        <w:pStyle w:val="Bodytext20"/>
        <w:shd w:val="clear" w:color="auto" w:fill="auto"/>
        <w:spacing w:before="0" w:line="602" w:lineRule="exact"/>
        <w:ind w:left="880" w:firstLine="0"/>
      </w:pPr>
      <w:r>
        <w:t xml:space="preserve">“Kende’ tallu bulirma: Ba’ka’ ma’rupa tau, rumeka pinatuwo, kende’ alang kinande, </w:t>
      </w:r>
      <w:r>
        <w:rPr>
          <w:lang w:val="en-US" w:eastAsia="en-US" w:bidi="en-US"/>
        </w:rPr>
        <w:t xml:space="preserve">sola </w:t>
      </w:r>
      <w:r>
        <w:t>masakke marurinding angganna-angganna sia”</w:t>
      </w:r>
    </w:p>
    <w:p w:rsidR="0099578E" w:rsidRDefault="00526D5E">
      <w:pPr>
        <w:pStyle w:val="Bodytext20"/>
        <w:shd w:val="clear" w:color="auto" w:fill="auto"/>
        <w:spacing w:before="0" w:after="514" w:line="602" w:lineRule="exact"/>
        <w:ind w:firstLine="0"/>
      </w:pPr>
      <w:r>
        <w:lastRenderedPageBreak/>
        <w:t>Yang artinya: pertambahan jumlah penduduk semakin meningkat, makhluk hidup bertambah banyak, sehingga k</w:t>
      </w:r>
      <w:r>
        <w:t>esejahteraan lahir dan batin dapat dirasakan oleh semua masyarakat.</w:t>
      </w:r>
    </w:p>
    <w:p w:rsidR="0099578E" w:rsidRDefault="00526D5E">
      <w:pPr>
        <w:pStyle w:val="Heading10"/>
        <w:keepNext/>
        <w:keepLines/>
        <w:shd w:val="clear" w:color="auto" w:fill="auto"/>
        <w:spacing w:before="0" w:after="313" w:line="260" w:lineRule="exact"/>
        <w:ind w:firstLine="880"/>
        <w:jc w:val="both"/>
      </w:pPr>
      <w:bookmarkStart w:id="5" w:name="bookmark4"/>
      <w:r>
        <w:t>c. Konsep Pengampunan Dalam Ada’ Tuo</w:t>
      </w:r>
      <w:bookmarkEnd w:id="5"/>
    </w:p>
    <w:p w:rsidR="0099578E" w:rsidRDefault="00526D5E">
      <w:pPr>
        <w:pStyle w:val="Bodytext20"/>
        <w:shd w:val="clear" w:color="auto" w:fill="auto"/>
        <w:spacing w:before="0" w:line="608" w:lineRule="exact"/>
        <w:ind w:firstLine="880"/>
      </w:pPr>
      <w:r>
        <w:t xml:space="preserve">Orientasi pelaksanaan </w:t>
      </w:r>
      <w:r>
        <w:rPr>
          <w:rStyle w:val="Bodytext2Italic"/>
        </w:rPr>
        <w:t>ada’ tuo</w:t>
      </w:r>
      <w:r>
        <w:t xml:space="preserve"> ditinjau dari pengertiannya sebagai suatu tradisi atau kebudayaan, terletak pada masalah-masalah sosial dan aspek hukum yang terkait di dalamnya.</w:t>
      </w:r>
      <w:r>
        <w:rPr>
          <w:vertAlign w:val="superscript"/>
        </w:rPr>
        <w:footnoteReference w:id="12"/>
      </w:r>
      <w:r>
        <w:t xml:space="preserve"> Masalah-masalah sosial yang dimaksudkan di sini adalah upaya </w:t>
      </w:r>
      <w:r>
        <w:rPr>
          <w:rStyle w:val="Bodytext2Italic"/>
        </w:rPr>
        <w:t>ada' tuo</w:t>
      </w:r>
      <w:r>
        <w:t xml:space="preserve"> untuk mengangkat nilai-nilai kemanusia</w:t>
      </w:r>
      <w:r>
        <w:t xml:space="preserve">an. Arti dan makna yang terkandung dalam </w:t>
      </w:r>
      <w:r>
        <w:rPr>
          <w:rStyle w:val="Bodytext2Italic"/>
        </w:rPr>
        <w:t>ada’ tuo</w:t>
      </w:r>
      <w:r>
        <w:t xml:space="preserve"> di mana ’’hukuman mati” ditolak untuk dipraktekkan dalam masyarakat. Di samping itu dalam hubungannya dengan sanksi yang dinilai secara material diupayakan agar tidak memberatkan pihak pelanggar bahkan kala</w:t>
      </w:r>
      <w:r>
        <w:t>u perlu sanksi-sanksi materil itu dihilangkan.</w:t>
      </w:r>
    </w:p>
    <w:p w:rsidR="0099578E" w:rsidRDefault="00526D5E">
      <w:pPr>
        <w:pStyle w:val="Bodytext20"/>
        <w:shd w:val="clear" w:color="auto" w:fill="auto"/>
        <w:spacing w:before="0" w:line="613" w:lineRule="exact"/>
        <w:ind w:firstLine="900"/>
      </w:pPr>
      <w:r>
        <w:t xml:space="preserve">Wujud konkrit pengampunan dalam </w:t>
      </w:r>
      <w:r>
        <w:rPr>
          <w:rStyle w:val="Bodytext2Italic"/>
        </w:rPr>
        <w:t>ada' tuo</w:t>
      </w:r>
      <w:r>
        <w:t xml:space="preserve"> tampak dengan jelas pada aspek hukum yang diberlakukan. </w:t>
      </w:r>
      <w:r>
        <w:rPr>
          <w:rStyle w:val="Bodytext2Italic"/>
        </w:rPr>
        <w:t>Ada' tuo</w:t>
      </w:r>
      <w:r>
        <w:t xml:space="preserve"> mengatur hukum yang proporsional dan mendasar, sehingga ada penolakan hukum yang sifatnya ”tega atau ke</w:t>
      </w:r>
      <w:r>
        <w:t>tegaan”.</w:t>
      </w:r>
    </w:p>
    <w:p w:rsidR="0099578E" w:rsidRDefault="00526D5E">
      <w:pPr>
        <w:pStyle w:val="Bodytext20"/>
        <w:shd w:val="clear" w:color="auto" w:fill="auto"/>
        <w:spacing w:before="0" w:line="613" w:lineRule="exact"/>
        <w:ind w:firstLine="900"/>
      </w:pPr>
      <w:r>
        <w:t xml:space="preserve">Hal yang ingin dicapai dalam proses pemberlakuan </w:t>
      </w:r>
      <w:r>
        <w:rPr>
          <w:rStyle w:val="Bodytext2Italic"/>
        </w:rPr>
        <w:t>ada’ tuo</w:t>
      </w:r>
      <w:r>
        <w:t>, adalah perdamaian, yang memuat konsep dasar sebagai berikut:</w:t>
      </w:r>
    </w:p>
    <w:p w:rsidR="0099578E" w:rsidRDefault="00526D5E">
      <w:pPr>
        <w:pStyle w:val="Bodytext20"/>
        <w:shd w:val="clear" w:color="auto" w:fill="auto"/>
        <w:tabs>
          <w:tab w:val="right" w:pos="4584"/>
          <w:tab w:val="right" w:pos="5361"/>
          <w:tab w:val="left" w:pos="5566"/>
        </w:tabs>
        <w:spacing w:before="0" w:line="613" w:lineRule="exact"/>
        <w:ind w:left="900" w:right="3020" w:firstLine="0"/>
        <w:jc w:val="left"/>
      </w:pPr>
      <w:r>
        <w:t>”Pangkara’ anna pa’kamase” = Saling mengasihi ’’Menonno messarapa”</w:t>
      </w:r>
      <w:r>
        <w:tab/>
        <w:t>=</w:t>
      </w:r>
      <w:r>
        <w:tab/>
        <w:t>Saling</w:t>
      </w:r>
      <w:r>
        <w:tab/>
        <w:t>menghargai</w:t>
      </w:r>
    </w:p>
    <w:p w:rsidR="0099578E" w:rsidRDefault="00526D5E">
      <w:pPr>
        <w:pStyle w:val="Bodytext20"/>
        <w:shd w:val="clear" w:color="auto" w:fill="auto"/>
        <w:tabs>
          <w:tab w:val="right" w:pos="4584"/>
          <w:tab w:val="right" w:pos="5361"/>
          <w:tab w:val="left" w:pos="5566"/>
        </w:tabs>
        <w:spacing w:before="0" w:line="551" w:lineRule="exact"/>
        <w:ind w:firstLine="900"/>
      </w:pPr>
      <w:r>
        <w:t>’’Sikambi’ sikamasei”</w:t>
      </w:r>
      <w:r>
        <w:tab/>
        <w:t>=</w:t>
      </w:r>
      <w:r>
        <w:tab/>
        <w:t>Saling</w:t>
      </w:r>
      <w:r>
        <w:tab/>
        <w:t>menjaga</w:t>
      </w:r>
    </w:p>
    <w:p w:rsidR="0099578E" w:rsidRDefault="00526D5E">
      <w:pPr>
        <w:pStyle w:val="Bodytext20"/>
        <w:shd w:val="clear" w:color="auto" w:fill="auto"/>
        <w:spacing w:before="0" w:line="551" w:lineRule="exact"/>
        <w:ind w:firstLine="900"/>
      </w:pPr>
      <w:r>
        <w:t>’</w:t>
      </w:r>
      <w:r>
        <w:t>’Sipake pelokok pepanampe” = Saling mengampuni</w:t>
      </w:r>
    </w:p>
    <w:p w:rsidR="0099578E" w:rsidRDefault="00526D5E">
      <w:pPr>
        <w:pStyle w:val="Bodytext20"/>
        <w:shd w:val="clear" w:color="auto" w:fill="auto"/>
        <w:spacing w:before="0" w:after="69" w:line="551" w:lineRule="exact"/>
        <w:ind w:firstLine="0"/>
      </w:pPr>
      <w:r>
        <w:t xml:space="preserve">Dalam konsep luhur di atas, nyata dengan jelas bahwa perdamaian yang menjadi cita- cita dari </w:t>
      </w:r>
      <w:r>
        <w:rPr>
          <w:rStyle w:val="Bodytext2Italic"/>
        </w:rPr>
        <w:lastRenderedPageBreak/>
        <w:t>ada</w:t>
      </w:r>
      <w:r>
        <w:t xml:space="preserve"> ’ </w:t>
      </w:r>
      <w:r>
        <w:rPr>
          <w:rStyle w:val="Bodytext2Italic"/>
        </w:rPr>
        <w:t>tuo</w:t>
      </w:r>
      <w:r>
        <w:t>, hanya bisa terwujud apabila ada rasa kasihan (saling mengasihi), saling menghargai, saling menjaga dan ya</w:t>
      </w:r>
      <w:r>
        <w:t>ng terpenting adalah saling mengampuni.</w:t>
      </w:r>
    </w:p>
    <w:p w:rsidR="0099578E" w:rsidRDefault="00526D5E">
      <w:pPr>
        <w:pStyle w:val="Heading10"/>
        <w:keepNext/>
        <w:keepLines/>
        <w:shd w:val="clear" w:color="auto" w:fill="auto"/>
        <w:spacing w:before="0" w:after="0" w:line="765" w:lineRule="exact"/>
        <w:jc w:val="both"/>
      </w:pPr>
      <w:bookmarkStart w:id="6" w:name="bookmark5"/>
      <w:r>
        <w:t>B. Pengampunan Dalam Injil</w:t>
      </w:r>
      <w:bookmarkEnd w:id="6"/>
    </w:p>
    <w:p w:rsidR="0099578E" w:rsidRDefault="00526D5E">
      <w:pPr>
        <w:pStyle w:val="Heading10"/>
        <w:keepNext/>
        <w:keepLines/>
        <w:shd w:val="clear" w:color="auto" w:fill="auto"/>
        <w:spacing w:before="0" w:after="0" w:line="765" w:lineRule="exact"/>
        <w:ind w:left="480"/>
        <w:jc w:val="left"/>
      </w:pPr>
      <w:bookmarkStart w:id="7" w:name="bookmark6"/>
      <w:r>
        <w:t>1. Pengampunan Dalam Alkitab</w:t>
      </w:r>
      <w:bookmarkEnd w:id="7"/>
    </w:p>
    <w:p w:rsidR="0099578E" w:rsidRDefault="00526D5E">
      <w:pPr>
        <w:pStyle w:val="Heading10"/>
        <w:keepNext/>
        <w:keepLines/>
        <w:shd w:val="clear" w:color="auto" w:fill="auto"/>
        <w:spacing w:before="0" w:after="0" w:line="765" w:lineRule="exact"/>
        <w:ind w:firstLine="900"/>
        <w:jc w:val="both"/>
      </w:pPr>
      <w:bookmarkStart w:id="8" w:name="bookmark7"/>
      <w:r>
        <w:t>a. Pengampunan Dalam Perjanjian Lama</w:t>
      </w:r>
      <w:bookmarkEnd w:id="8"/>
    </w:p>
    <w:p w:rsidR="0099578E" w:rsidRDefault="00526D5E">
      <w:pPr>
        <w:pStyle w:val="Bodytext20"/>
        <w:shd w:val="clear" w:color="auto" w:fill="auto"/>
        <w:spacing w:before="0" w:line="551" w:lineRule="exact"/>
        <w:ind w:firstLine="900"/>
      </w:pPr>
      <w:r>
        <w:t xml:space="preserve">Adalah tidak mudah melacak secara gamblang tentang konsep pengampunan yang ada dalam Peijanjian Lama, karena pada </w:t>
      </w:r>
      <w:r>
        <w:t>prinsipnya Taurat lebih menekankan pada prinsip ’’pembebasan setimpal”, bagi siapa saja yang terbukti bersalah. Hal yang menonjol dalam kelima kitab Musa adalah pola penyelesaian masalah atau pelanggaran dengan cara mata ganti mata, gigi ganti gigi, sepert</w:t>
      </w:r>
      <w:r>
        <w:t>i yang diuraikan ayat- ayat berikut:</w:t>
      </w:r>
    </w:p>
    <w:p w:rsidR="0099578E" w:rsidRDefault="00526D5E">
      <w:pPr>
        <w:pStyle w:val="Bodytext20"/>
        <w:shd w:val="clear" w:color="auto" w:fill="auto"/>
        <w:spacing w:before="0" w:line="298" w:lineRule="exact"/>
        <w:ind w:left="900" w:firstLine="0"/>
      </w:pPr>
      <w:r>
        <w:rPr>
          <w:rStyle w:val="Bodytext2Italic"/>
        </w:rPr>
        <w:t>Ulangan 21:21</w:t>
      </w:r>
      <w:r>
        <w:t>: ”Maka haruslah semua orang sekotanya melempari anak itu dengan batu, sehingga ia mati. Demikianlah harus kauhapuskan yang jahat itu dari tengah-tengahmu; dan seluruh orang Israel akan mendengar dan menjad</w:t>
      </w:r>
      <w:r>
        <w:t>i takut”.</w:t>
      </w:r>
    </w:p>
    <w:p w:rsidR="0099578E" w:rsidRDefault="00526D5E">
      <w:pPr>
        <w:pStyle w:val="Bodytext20"/>
        <w:shd w:val="clear" w:color="auto" w:fill="auto"/>
        <w:spacing w:before="0" w:line="298" w:lineRule="exact"/>
        <w:ind w:left="900" w:firstLine="0"/>
      </w:pPr>
      <w:r>
        <w:rPr>
          <w:rStyle w:val="Bodytext2Italic"/>
        </w:rPr>
        <w:t>Imamat 24:19-20</w:t>
      </w:r>
      <w:r>
        <w:t>: "Apabila seseorang membuat orang sesamanya bercacat, maka seperti yang telah dilakukannya, begitulah harus dilakukan kepadanya: patah ganti patah, mata ganti mata, gigi ganti gigi; seperti dibuatnya orang lain bercacat, begitulah</w:t>
      </w:r>
      <w:r>
        <w:t xml:space="preserve"> harus dibuat kepadanya”.</w:t>
      </w:r>
    </w:p>
    <w:p w:rsidR="0099578E" w:rsidRDefault="00526D5E">
      <w:pPr>
        <w:pStyle w:val="Bodytext20"/>
        <w:shd w:val="clear" w:color="auto" w:fill="auto"/>
        <w:spacing w:before="0" w:line="298" w:lineRule="exact"/>
        <w:ind w:left="900" w:firstLine="0"/>
      </w:pPr>
      <w:r>
        <w:rPr>
          <w:rStyle w:val="Bodytext2Italic"/>
        </w:rPr>
        <w:t>Ulangan 19:21:</w:t>
      </w:r>
      <w:r>
        <w:t xml:space="preserve"> "Janganlah engkau merasa sayang kepadanya, sebab berlaku: nyawa ganti nyawa, mata ganti mata, gigi ganti gigi, tangan ganti tangan, kaki ganti kaki.”</w:t>
      </w:r>
    </w:p>
    <w:p w:rsidR="0099578E" w:rsidRDefault="00526D5E">
      <w:pPr>
        <w:pStyle w:val="Bodytext20"/>
        <w:shd w:val="clear" w:color="auto" w:fill="auto"/>
        <w:spacing w:before="0" w:line="602" w:lineRule="exact"/>
        <w:ind w:firstLine="900"/>
      </w:pPr>
      <w:r>
        <w:t>Berdasarkan ayat-ayat di atas, menunjukkan sikap bangsa Israel ya</w:t>
      </w:r>
      <w:r>
        <w:t>ng tidak kompromi terhadap segala bentuk kejahatan, dan sikap kejahatan yang teijadi harus dibalaskan sesuai dengan besarnya resiko yang dialami oleh korbaa Alasan mereka untuk memberlakukan hukum-hukum pembalasan ini, berpola pada siapa pemberi perintah i</w:t>
      </w:r>
      <w:r>
        <w:t>tu, yakni Allah sendiri. Mereka mempunyai kekuatan yang luar biasa untuk memberlakukan hukuman itu karena anjuran pemberlakuannya dari Allah (Firman Allah sendiri).</w:t>
      </w:r>
    </w:p>
    <w:p w:rsidR="0099578E" w:rsidRDefault="00526D5E">
      <w:pPr>
        <w:pStyle w:val="Bodytext20"/>
        <w:shd w:val="clear" w:color="auto" w:fill="auto"/>
        <w:spacing w:before="0" w:line="602" w:lineRule="exact"/>
        <w:ind w:firstLine="900"/>
      </w:pPr>
      <w:r>
        <w:t xml:space="preserve">Pada sisi lain, hukum ini pula, menjadi keharusan bagi bangsa Israel, untuk menjaga </w:t>
      </w:r>
      <w:r>
        <w:lastRenderedPageBreak/>
        <w:t>kekudus</w:t>
      </w:r>
      <w:r>
        <w:t xml:space="preserve">an umat Israel dari setiap kejahatan yang dirancang oleh manusia, dan berpola pada "kekudusan Allah”. Kekudusan Allah diperintahkan kepada Musa ; ’’Tuhan berfirman kepada Musa: "Berbicaralah kepada segenap jemaah Israel dan katakan kepada mereka: Kuduslah </w:t>
      </w:r>
      <w:r>
        <w:t>kamu, sebab Aku, Tuhan, Aliahmu, kudus” (Im.</w:t>
      </w:r>
    </w:p>
    <w:p w:rsidR="0099578E" w:rsidRDefault="00526D5E">
      <w:pPr>
        <w:pStyle w:val="Bodytext20"/>
        <w:shd w:val="clear" w:color="auto" w:fill="auto"/>
        <w:spacing w:before="0" w:line="260" w:lineRule="exact"/>
        <w:ind w:firstLine="0"/>
      </w:pPr>
      <w:r>
        <w:t>19:1-2).</w:t>
      </w:r>
    </w:p>
    <w:p w:rsidR="0099578E" w:rsidRDefault="00526D5E">
      <w:pPr>
        <w:pStyle w:val="Bodytext20"/>
        <w:shd w:val="clear" w:color="auto" w:fill="auto"/>
        <w:spacing w:before="0" w:line="608" w:lineRule="exact"/>
        <w:ind w:firstLine="900"/>
      </w:pPr>
      <w:r>
        <w:t>Konsep tentang pengampunan dalam Perjanjian Lama, muncul kemudian setelah diatur tentang hukum-hukum di bidang sosial.</w:t>
      </w:r>
      <w:r>
        <w:rPr>
          <w:vertAlign w:val="superscript"/>
        </w:rPr>
        <w:footnoteReference w:id="13"/>
      </w:r>
      <w:r>
        <w:t xml:space="preserve"> Seperti misalnya diaturnya tentang korban penghapus dosa dan korban penebus salah </w:t>
      </w:r>
      <w:r>
        <w:t>yang diselesaikan oleh para imam sebagai perantara.</w:t>
      </w:r>
    </w:p>
    <w:p w:rsidR="0099578E" w:rsidRDefault="00526D5E">
      <w:pPr>
        <w:pStyle w:val="Bodytext20"/>
        <w:shd w:val="clear" w:color="auto" w:fill="auto"/>
        <w:spacing w:before="0" w:line="608" w:lineRule="exact"/>
        <w:ind w:left="900" w:firstLine="0"/>
      </w:pPr>
      <w:r>
        <w:t>Dalam hukum-hukum sosial seperti itu diatur sebagai berikut;</w:t>
      </w:r>
    </w:p>
    <w:p w:rsidR="0099578E" w:rsidRDefault="00526D5E">
      <w:pPr>
        <w:pStyle w:val="Bodytext20"/>
        <w:shd w:val="clear" w:color="auto" w:fill="auto"/>
        <w:spacing w:before="0" w:line="304" w:lineRule="exact"/>
        <w:ind w:left="900" w:firstLine="0"/>
      </w:pPr>
      <w:r>
        <w:rPr>
          <w:rStyle w:val="Bodytext2Italic"/>
        </w:rPr>
        <w:t>Imamat 4:20:</w:t>
      </w:r>
      <w:r>
        <w:t xml:space="preserve"> “Beginilah harus diperbuatnya dengan lembu jantan itu; seperti yang diperbuatnya dengan lembu jantan korban penghapus dosa, demikianlah harus diperbuatnya dengan lembu itu. Dengan demikian imam itu mengadakan pendamaian bagi mereka, sehingga mereka meneri</w:t>
      </w:r>
      <w:r>
        <w:t>ma pengampunan”.</w:t>
      </w:r>
    </w:p>
    <w:p w:rsidR="0099578E" w:rsidRDefault="00526D5E">
      <w:pPr>
        <w:pStyle w:val="Bodytext20"/>
        <w:shd w:val="clear" w:color="auto" w:fill="auto"/>
        <w:spacing w:before="0" w:line="304" w:lineRule="exact"/>
        <w:ind w:left="900" w:firstLine="0"/>
      </w:pPr>
      <w:r>
        <w:rPr>
          <w:rStyle w:val="Bodytext2Italic"/>
        </w:rPr>
        <w:t>Imamat 19:20:</w:t>
      </w:r>
      <w:r>
        <w:t xml:space="preserve"> “Imam harus mengadakan pendamaian bagi orang itu dengan domba jantan korban penebus salah di hadapan Tuhan, karena dosa yang telah diperbuatnya, sehingga ia beroleh pengampunan dari dosanya itu.</w:t>
      </w:r>
    </w:p>
    <w:p w:rsidR="0099578E" w:rsidRDefault="00526D5E">
      <w:pPr>
        <w:pStyle w:val="Bodytext20"/>
        <w:shd w:val="clear" w:color="auto" w:fill="auto"/>
        <w:spacing w:before="0" w:line="608" w:lineRule="exact"/>
        <w:ind w:left="900" w:firstLine="0"/>
      </w:pPr>
      <w:r>
        <w:t>Hukum-hukum sosial di atas, me</w:t>
      </w:r>
      <w:r>
        <w:t>mperlihatkan kemudahan-kemudahan bagi</w:t>
      </w:r>
    </w:p>
    <w:p w:rsidR="0099578E" w:rsidRDefault="00526D5E">
      <w:pPr>
        <w:pStyle w:val="Bodytext20"/>
        <w:shd w:val="clear" w:color="auto" w:fill="auto"/>
        <w:spacing w:before="0" w:line="608" w:lineRule="exact"/>
        <w:ind w:firstLine="0"/>
        <w:jc w:val="left"/>
      </w:pPr>
      <w:r>
        <w:t>bangsa Israel untuk mendapatkan pengampunan, dengan jalan mengorbankan lembu</w:t>
      </w:r>
    </w:p>
    <w:p w:rsidR="0099578E" w:rsidRDefault="00526D5E">
      <w:pPr>
        <w:pStyle w:val="Bodytext20"/>
        <w:shd w:val="clear" w:color="auto" w:fill="auto"/>
        <w:spacing w:before="0" w:line="608" w:lineRule="exact"/>
        <w:ind w:firstLine="0"/>
        <w:jc w:val="left"/>
      </w:pPr>
      <w:r>
        <w:t>jantan sebagai penebus bagi kesalahan-kesalahan mereka.</w:t>
      </w:r>
    </w:p>
    <w:p w:rsidR="0099578E" w:rsidRDefault="00526D5E">
      <w:pPr>
        <w:pStyle w:val="Bodytext20"/>
        <w:shd w:val="clear" w:color="auto" w:fill="auto"/>
        <w:spacing w:before="0" w:line="608" w:lineRule="exact"/>
        <w:ind w:left="900" w:firstLine="0"/>
      </w:pPr>
      <w:r>
        <w:t>Dalam peijalanan kehidupan bangsa Israel selanjutnya, ternyata upaya-upava</w:t>
      </w:r>
    </w:p>
    <w:p w:rsidR="0099578E" w:rsidRDefault="00526D5E">
      <w:pPr>
        <w:pStyle w:val="Bodytext20"/>
        <w:shd w:val="clear" w:color="auto" w:fill="auto"/>
        <w:spacing w:before="0" w:line="608" w:lineRule="exact"/>
        <w:ind w:firstLine="0"/>
        <w:jc w:val="left"/>
      </w:pPr>
      <w:r>
        <w:t>pengampuna</w:t>
      </w:r>
      <w:r>
        <w:t>n semakin nampak, khususnya selama Yosua memerintah Israel. Pernah</w:t>
      </w:r>
    </w:p>
    <w:p w:rsidR="0099578E" w:rsidRDefault="00526D5E">
      <w:pPr>
        <w:pStyle w:val="Bodytext20"/>
        <w:shd w:val="clear" w:color="auto" w:fill="auto"/>
        <w:spacing w:before="0" w:line="608" w:lineRule="exact"/>
        <w:ind w:firstLine="0"/>
        <w:jc w:val="left"/>
      </w:pPr>
      <w:r>
        <w:t>dalam tatanan masyarakat Israel, diatur suatu sistem pengampunan yang menjangkau</w:t>
      </w:r>
    </w:p>
    <w:p w:rsidR="0099578E" w:rsidRDefault="00526D5E">
      <w:pPr>
        <w:pStyle w:val="Bodytext20"/>
        <w:shd w:val="clear" w:color="auto" w:fill="auto"/>
        <w:spacing w:before="0" w:line="608" w:lineRule="exact"/>
        <w:ind w:firstLine="0"/>
        <w:jc w:val="left"/>
      </w:pPr>
      <w:r>
        <w:t>semua lapisan masyarakat. Sistem pengampunan yang dimaksud adalah</w:t>
      </w:r>
    </w:p>
    <w:p w:rsidR="0099578E" w:rsidRDefault="00526D5E">
      <w:pPr>
        <w:pStyle w:val="Bodytext20"/>
        <w:shd w:val="clear" w:color="auto" w:fill="auto"/>
        <w:spacing w:before="0" w:line="608" w:lineRule="exact"/>
        <w:ind w:firstLine="0"/>
        <w:jc w:val="left"/>
      </w:pPr>
      <w:r>
        <w:t>ditentukannya “kota-kota perlindungan”.</w:t>
      </w:r>
      <w:r>
        <w:rPr>
          <w:vertAlign w:val="superscript"/>
        </w:rPr>
        <w:footnoteReference w:id="14"/>
      </w:r>
    </w:p>
    <w:p w:rsidR="0099578E" w:rsidRDefault="00526D5E">
      <w:pPr>
        <w:pStyle w:val="Bodytext20"/>
        <w:shd w:val="clear" w:color="auto" w:fill="auto"/>
        <w:spacing w:before="0" w:line="608" w:lineRule="exact"/>
        <w:ind w:left="900" w:firstLine="0"/>
      </w:pPr>
      <w:r>
        <w:t>K</w:t>
      </w:r>
      <w:r>
        <w:t>ota-kota yang dimaksudkan di sini adalah kota-kota “suaka” yang secara</w:t>
      </w:r>
    </w:p>
    <w:p w:rsidR="0099578E" w:rsidRDefault="00526D5E">
      <w:pPr>
        <w:pStyle w:val="Bodytext20"/>
        <w:shd w:val="clear" w:color="auto" w:fill="auto"/>
        <w:spacing w:before="0" w:line="608" w:lineRule="exact"/>
        <w:ind w:firstLine="0"/>
        <w:jc w:val="left"/>
      </w:pPr>
      <w:r>
        <w:lastRenderedPageBreak/>
        <w:t>asasi disebut dalam Bilangan 35:9-34 dan Yosua 20:1-3:</w:t>
      </w:r>
    </w:p>
    <w:p w:rsidR="0099578E" w:rsidRDefault="00526D5E">
      <w:pPr>
        <w:pStyle w:val="Bodytext20"/>
        <w:shd w:val="clear" w:color="auto" w:fill="auto"/>
        <w:spacing w:before="0" w:line="304" w:lineRule="exact"/>
        <w:ind w:left="900" w:firstLine="0"/>
      </w:pPr>
      <w:r>
        <w:rPr>
          <w:rStyle w:val="Bodytext2Italic"/>
        </w:rPr>
        <w:t>Bilangan 35:10b-12:</w:t>
      </w:r>
      <w:r>
        <w:t xml:space="preserve"> "Apabila kamu menyeberangi sungai Yordan ke tanah Kanaan, maka haruslah kamu memilih beberapa kota yang menjad</w:t>
      </w:r>
      <w:r>
        <w:t>i kota-kota perlindungan bagimu, supaya orang pembunuh yang telah membunuh seseorang dengan tidak sengaja dapat melarikan diri ke sana. Kota-kota itu akan menjadi tempat perlindungan bagimu terhadap penuntut balas, supaya pembunuh jangan mati, sebelum ia d</w:t>
      </w:r>
      <w:r>
        <w:t>ihadapkan kepada rapat umat untuk diadili.</w:t>
      </w:r>
    </w:p>
    <w:p w:rsidR="0099578E" w:rsidRDefault="00526D5E">
      <w:pPr>
        <w:pStyle w:val="Bodytext20"/>
        <w:shd w:val="clear" w:color="auto" w:fill="auto"/>
        <w:spacing w:before="0" w:after="280" w:line="309" w:lineRule="exact"/>
        <w:ind w:left="940" w:firstLine="0"/>
      </w:pPr>
      <w:r>
        <w:rPr>
          <w:rStyle w:val="Bodytext2Italic"/>
        </w:rPr>
        <w:t>Yosia 20:1-3:</w:t>
      </w:r>
      <w:r>
        <w:t xml:space="preserve"> ’’Berfirmanlah Tuhan kepada Yosua, demikian: ^Katakanlah kepada orang Israel, begini: Tentukanlah bagimu kota-kota perlindungan, yang telah Kusebutkan kepadamu dengan perantaraan Musa, supaya siapa y</w:t>
      </w:r>
      <w:r>
        <w:t>ang membunuh seseorang dengan tidak sengaja, dengan tidak ada niat lebih dahulu, dapat melarikan diri ke sana, sehingga kota-kota itu menjadi tempat perlindungan bagimu terhadap penuntut tebusan darah”.</w:t>
      </w:r>
    </w:p>
    <w:p w:rsidR="0099578E" w:rsidRDefault="00526D5E">
      <w:pPr>
        <w:pStyle w:val="Bodytext20"/>
        <w:shd w:val="clear" w:color="auto" w:fill="auto"/>
        <w:spacing w:before="0" w:after="303" w:line="260" w:lineRule="exact"/>
        <w:ind w:firstLine="0"/>
      </w:pPr>
      <w:r>
        <w:t>Nampak bahwa kota-kota tersebut berada di antara kota</w:t>
      </w:r>
      <w:r>
        <w:t>-kota Bani Lewi. Maksud dari</w:t>
      </w:r>
    </w:p>
    <w:p w:rsidR="0099578E" w:rsidRDefault="00526D5E">
      <w:pPr>
        <w:pStyle w:val="Bodytext20"/>
        <w:shd w:val="clear" w:color="auto" w:fill="auto"/>
        <w:spacing w:before="0" w:after="264" w:line="260" w:lineRule="exact"/>
        <w:ind w:firstLine="0"/>
      </w:pPr>
      <w:r>
        <w:t>penetapan kota-kota perlindungan itu adalah:</w:t>
      </w:r>
    </w:p>
    <w:p w:rsidR="0099578E" w:rsidRDefault="00526D5E">
      <w:pPr>
        <w:pStyle w:val="Bodytext20"/>
        <w:shd w:val="clear" w:color="auto" w:fill="auto"/>
        <w:spacing w:before="0" w:line="309" w:lineRule="exact"/>
        <w:ind w:left="940" w:firstLine="0"/>
      </w:pPr>
      <w:r>
        <w:rPr>
          <w:rStyle w:val="Bodytext2Italic"/>
        </w:rPr>
        <w:t>Ulangan 4:41-43</w:t>
      </w:r>
      <w:r>
        <w:t>: ’’Lalu Musa mengkhususkan tiga kota di seberang sungai Yordan, di sebelah timur, supaya orang yang membunuh sesamanya manusia dengan tidak sengaja dan dengan tidak memusuhinya lebih dahulu, dapat melarikan diri ke sana, sehingga ia, apabila melarikan dir</w:t>
      </w:r>
      <w:r>
        <w:t xml:space="preserve">i ke salah satu kota itu, dapat tetap hidup. Kota-kota itu adalah: Bezer di padang gurun, di daerah dataran tinggi, untuk orang </w:t>
      </w:r>
      <w:r>
        <w:rPr>
          <w:lang w:val="en-US" w:eastAsia="en-US" w:bidi="en-US"/>
        </w:rPr>
        <w:t xml:space="preserve">Ruben; </w:t>
      </w:r>
      <w:r>
        <w:t xml:space="preserve">Ramot di </w:t>
      </w:r>
      <w:r>
        <w:rPr>
          <w:lang w:val="en-US" w:eastAsia="en-US" w:bidi="en-US"/>
        </w:rPr>
        <w:t xml:space="preserve">Gilead </w:t>
      </w:r>
      <w:r>
        <w:t xml:space="preserve">untuk orang Gad dan </w:t>
      </w:r>
      <w:r>
        <w:rPr>
          <w:lang w:val="en-US" w:eastAsia="en-US" w:bidi="en-US"/>
        </w:rPr>
        <w:t xml:space="preserve">Golan </w:t>
      </w:r>
      <w:r>
        <w:t>di Basan untuk orang Manasye.</w:t>
      </w:r>
    </w:p>
    <w:p w:rsidR="0099578E" w:rsidRDefault="00526D5E">
      <w:pPr>
        <w:pStyle w:val="Bodytext20"/>
        <w:shd w:val="clear" w:color="auto" w:fill="auto"/>
        <w:spacing w:before="0" w:line="619" w:lineRule="exact"/>
        <w:ind w:firstLine="0"/>
      </w:pPr>
      <w:r>
        <w:t>Dalam Israel, hukum ganti rugi, diterapkan khusus</w:t>
      </w:r>
      <w:r>
        <w:t xml:space="preserve">nya dalam hukum pembalasan </w:t>
      </w:r>
      <w:r>
        <w:rPr>
          <w:rStyle w:val="Bodytext2Italic"/>
          <w:lang w:val="en-US" w:eastAsia="en-US" w:bidi="en-US"/>
        </w:rPr>
        <w:t>(lextalionis),</w:t>
      </w:r>
      <w:r>
        <w:rPr>
          <w:lang w:val="en-US" w:eastAsia="en-US" w:bidi="en-US"/>
        </w:rPr>
        <w:t xml:space="preserve"> </w:t>
      </w:r>
      <w:r>
        <w:t>khususnya lagi dalam soal penumpahan darah. Peijanjian Allah dengan Nuh, Allah menegaskan bahwa mengenai darah Nuh dan keturunanya, yaitu nyawanya, Allah akan menuntut balasnya (Kej. 9:5).</w:t>
      </w:r>
    </w:p>
    <w:p w:rsidR="0099578E" w:rsidRDefault="00526D5E">
      <w:pPr>
        <w:pStyle w:val="Bodytext20"/>
        <w:shd w:val="clear" w:color="auto" w:fill="auto"/>
        <w:spacing w:before="0" w:line="619" w:lineRule="exact"/>
        <w:ind w:firstLine="940"/>
      </w:pPr>
      <w:r>
        <w:t>Pada zaman Israel kuno, t</w:t>
      </w:r>
      <w:r>
        <w:t>ugas menghukum pembunuh, diserahkan kepada Go’el, yaitu keluarga laki-laki terdekat, dan diadakan perbedaan antara membunuh yang sengaja dan tidak sengaja. Pembunuh yang benar-benar dengan kemauan penuh mau membunuh, hukumannya harus dibunuh juga. Sedangka</w:t>
      </w:r>
      <w:r>
        <w:t xml:space="preserve">n pembunuh yang tanpa sengaja, dapat menerima suaka di salah satu kota perlindungan. Maksud terpenting dari penetapan kota-kota perlindungan ini adalah </w:t>
      </w:r>
      <w:r>
        <w:lastRenderedPageBreak/>
        <w:t>untuk membantu menghindarkan akses-akses yang dapat berkembang dari pelaksanaan pembalasan berdarah.</w:t>
      </w:r>
    </w:p>
    <w:p w:rsidR="0099578E" w:rsidRDefault="00526D5E">
      <w:pPr>
        <w:pStyle w:val="Bodytext20"/>
        <w:shd w:val="clear" w:color="auto" w:fill="auto"/>
        <w:spacing w:before="0" w:line="608" w:lineRule="exact"/>
        <w:ind w:firstLine="900"/>
      </w:pPr>
      <w:r>
        <w:t>Dal</w:t>
      </w:r>
      <w:r>
        <w:t>am kitab Peijanjian Lama (Ulangan 2:12-24), ditemukan ketetapan mengenai hal ini. Israel menganggap mezbah atau tempat suci, sebagai tempat suaka. Ditetapkanlah bahwa orang yang sengaja membunuh tidak diperkenankan mencari perlindungan di sekitar mezbah, t</w:t>
      </w:r>
      <w:r>
        <w:t>etapi yang tidak sengaja membunuh, diperbolehkan. Persoalan yang muncul kemudian adalah bagaimana jika seandainya mezbah itu jauh dan juga apakah pencari suaka itu mampu terus menerus berdiri di dekat mezbah? Menjawab pertanyaan seperti ini, maka jalan kel</w:t>
      </w:r>
      <w:r>
        <w:t>uarnya adalah ditetapkannya kota- kota perlindungan sebagai kota tempat melarinkan diri.</w:t>
      </w:r>
    </w:p>
    <w:p w:rsidR="0099578E" w:rsidRDefault="00526D5E">
      <w:pPr>
        <w:pStyle w:val="Bodytext20"/>
        <w:shd w:val="clear" w:color="auto" w:fill="auto"/>
        <w:spacing w:before="0" w:after="518" w:line="608" w:lineRule="exact"/>
        <w:ind w:firstLine="900"/>
      </w:pPr>
      <w:r>
        <w:t xml:space="preserve">Pada zaman pemerintahan Yosua, bahkan selama Yosua hidup, ditetapkanlah enam kota perlindungan yaitu: Kadesy, Sikhem, Kiryat - Arba (= </w:t>
      </w:r>
      <w:r>
        <w:rPr>
          <w:lang w:val="en-US" w:eastAsia="en-US" w:bidi="en-US"/>
        </w:rPr>
        <w:t xml:space="preserve">Hebron), </w:t>
      </w:r>
      <w:r>
        <w:t xml:space="preserve">Bezer, Ramot </w:t>
      </w:r>
      <w:r>
        <w:rPr>
          <w:lang w:val="en-US" w:eastAsia="en-US" w:bidi="en-US"/>
        </w:rPr>
        <w:t>dan Golan.</w:t>
      </w:r>
      <w:r>
        <w:rPr>
          <w:lang w:val="en-US" w:eastAsia="en-US" w:bidi="en-US"/>
        </w:rPr>
        <w:t xml:space="preserve"> </w:t>
      </w:r>
      <w:r>
        <w:t>Suatu corak baru di sini adalah bahwa para penatua kota-kota perlindungan juga bertanggung jawab.</w:t>
      </w:r>
    </w:p>
    <w:p w:rsidR="0099578E" w:rsidRDefault="00526D5E">
      <w:pPr>
        <w:pStyle w:val="Heading10"/>
        <w:keepNext/>
        <w:keepLines/>
        <w:shd w:val="clear" w:color="auto" w:fill="auto"/>
        <w:spacing w:before="0" w:after="298" w:line="260" w:lineRule="exact"/>
        <w:ind w:firstLine="900"/>
        <w:jc w:val="both"/>
      </w:pPr>
      <w:bookmarkStart w:id="9" w:name="bookmark8"/>
      <w:r>
        <w:t>b. Pengampunan Dalam Perjanjian Baru</w:t>
      </w:r>
      <w:bookmarkEnd w:id="9"/>
    </w:p>
    <w:p w:rsidR="0099578E" w:rsidRDefault="00526D5E">
      <w:pPr>
        <w:pStyle w:val="Bodytext20"/>
        <w:shd w:val="clear" w:color="auto" w:fill="auto"/>
        <w:spacing w:before="0" w:line="641" w:lineRule="exact"/>
        <w:ind w:firstLine="900"/>
        <w:sectPr w:rsidR="0099578E">
          <w:pgSz w:w="11900" w:h="16840"/>
          <w:pgMar w:top="1937" w:right="1105" w:bottom="1323" w:left="923" w:header="0" w:footer="3" w:gutter="0"/>
          <w:cols w:space="720"/>
          <w:noEndnote/>
          <w:docGrid w:linePitch="360"/>
        </w:sectPr>
      </w:pPr>
      <w:r>
        <w:t xml:space="preserve">Pengampunan dalam Peijanjian Baru, hanya dapat dipahami jika dikaitkan dengan Injil, karena justru </w:t>
      </w:r>
      <w:r>
        <w:t>di dalam Injillah, hakekat pengampunan itu menjadi nyata.</w:t>
      </w:r>
    </w:p>
    <w:p w:rsidR="0099578E" w:rsidRDefault="00526D5E">
      <w:pPr>
        <w:pStyle w:val="Bodytext20"/>
        <w:shd w:val="clear" w:color="auto" w:fill="auto"/>
        <w:spacing w:before="0" w:line="641" w:lineRule="exact"/>
        <w:ind w:firstLine="900"/>
      </w:pPr>
      <w:r>
        <w:lastRenderedPageBreak/>
        <w:t xml:space="preserve">Berdasarkan asal katanya, kata Injil berasal dari bahasa Yunani yaitu </w:t>
      </w:r>
      <w:r>
        <w:rPr>
          <w:rStyle w:val="Bodytext2Italic"/>
        </w:rPr>
        <w:t>”euanggelion,</w:t>
      </w:r>
      <w:r>
        <w:t xml:space="preserve"> yang artinya berita kesukaan.</w:t>
      </w:r>
      <w:r>
        <w:rPr>
          <w:vertAlign w:val="superscript"/>
        </w:rPr>
        <w:footnoteReference w:id="15"/>
      </w:r>
      <w:r>
        <w:t xml:space="preserve"> Dalam kesusatraan klasik, kata Injil mengacu pada pahala yang diberikan dan juga me</w:t>
      </w:r>
      <w:r>
        <w:t>nunjuk pada apa yang dikabarkan, mula-mula kemenangan, kemudian berita kesukaan lainnya.</w:t>
      </w:r>
      <w:r>
        <w:rPr>
          <w:vertAlign w:val="superscript"/>
        </w:rPr>
        <w:footnoteReference w:id="16"/>
      </w:r>
    </w:p>
    <w:p w:rsidR="0099578E" w:rsidRDefault="00526D5E">
      <w:pPr>
        <w:pStyle w:val="Bodytext20"/>
        <w:shd w:val="clear" w:color="auto" w:fill="auto"/>
        <w:spacing w:before="0" w:line="641" w:lineRule="exact"/>
        <w:ind w:firstLine="900"/>
      </w:pPr>
      <w:r>
        <w:t xml:space="preserve">Kabar sukacita ini, menyangkut keselamatan manusia dan dunia seluruhnya, ia menyangkut kehidupan manusia baik spritual maupun materil, baik fisik maupun </w:t>
      </w:r>
      <w:r>
        <w:rPr>
          <w:lang w:val="en-US" w:eastAsia="en-US" w:bidi="en-US"/>
        </w:rPr>
        <w:t xml:space="preserve">non </w:t>
      </w:r>
      <w:r>
        <w:t xml:space="preserve">fisik, </w:t>
      </w:r>
      <w:r>
        <w:t>baik perseorangan maupun kemasyarakatan. Ia juga mencakup segala makhluk alam semesta (kosmos).</w:t>
      </w:r>
      <w:r>
        <w:rPr>
          <w:vertAlign w:val="superscript"/>
        </w:rPr>
        <w:footnoteReference w:id="17"/>
      </w:r>
    </w:p>
    <w:p w:rsidR="0099578E" w:rsidRDefault="00526D5E">
      <w:pPr>
        <w:pStyle w:val="Bodytext20"/>
        <w:shd w:val="clear" w:color="auto" w:fill="auto"/>
        <w:spacing w:before="0" w:line="613" w:lineRule="exact"/>
        <w:ind w:firstLine="900"/>
      </w:pPr>
      <w:r>
        <w:t xml:space="preserve">Injil adalah kabar baik, bahwa Allah di dalam Yesus Kristus, telah memenuhi janjinya kepada Israel dan bahwa satu jalan keselamatan telah dibuka bagi semua </w:t>
      </w:r>
      <w:r>
        <w:t>orang. Injil yang diberitakan bukan hanya dengan kata-kata, tetapi oleh kekuatan Roh Kudus (1 Tes. 1:5). Injil menyatakan kebenaran Allah dan keselamatan semua orang yang percaya (Rm. 1:16-17). Rasul Paulus memandang Injil sebagai sesuatu dari Allah yang m</w:t>
      </w:r>
      <w:r>
        <w:t>ulia yang telah dipercayakan kepadanya (1 Tes. 1:11).</w:t>
      </w:r>
      <w:r>
        <w:rPr>
          <w:vertAlign w:val="superscript"/>
        </w:rPr>
        <w:footnoteReference w:id="18"/>
      </w:r>
    </w:p>
    <w:p w:rsidR="0099578E" w:rsidRDefault="00526D5E">
      <w:pPr>
        <w:pStyle w:val="Bodytext20"/>
        <w:shd w:val="clear" w:color="auto" w:fill="auto"/>
        <w:spacing w:before="0" w:line="613" w:lineRule="exact"/>
        <w:ind w:firstLine="900"/>
      </w:pPr>
      <w:r>
        <w:t xml:space="preserve">G.C. </w:t>
      </w:r>
      <w:r>
        <w:rPr>
          <w:lang w:val="en-US" w:eastAsia="en-US" w:bidi="en-US"/>
        </w:rPr>
        <w:t xml:space="preserve">Van </w:t>
      </w:r>
      <w:r>
        <w:t xml:space="preserve">Niftrik dan B.H. </w:t>
      </w:r>
      <w:r>
        <w:rPr>
          <w:lang w:val="en-US" w:eastAsia="en-US" w:bidi="en-US"/>
        </w:rPr>
        <w:t xml:space="preserve">Boland </w:t>
      </w:r>
      <w:r>
        <w:t>menyebutkan bahwa Injil adalah kabar baik tentang Yesus Kristus, tentang kedatangan-Nya ke dalam dunia, tentang penderitaan dan kebangkitan-Nya.</w:t>
      </w:r>
      <w:r>
        <w:rPr>
          <w:vertAlign w:val="superscript"/>
        </w:rPr>
        <w:footnoteReference w:id="19"/>
      </w:r>
    </w:p>
    <w:p w:rsidR="0099578E" w:rsidRDefault="00526D5E">
      <w:pPr>
        <w:pStyle w:val="Bodytext20"/>
        <w:shd w:val="clear" w:color="auto" w:fill="auto"/>
        <w:spacing w:before="0" w:line="653" w:lineRule="exact"/>
        <w:ind w:firstLine="900"/>
      </w:pPr>
      <w:r>
        <w:t>Eka Darmaputera, menye</w:t>
      </w:r>
      <w:r>
        <w:t xml:space="preserve">butkan bahwa Injil adalah sebuah berita kabar baik. Kabar </w:t>
      </w:r>
      <w:r>
        <w:lastRenderedPageBreak/>
        <w:t>atau berita baik itu pertama-tama disampaikan kepada manusia oleh dan melalui seorang manusia. Injil itu diberitakan dalam bentuk kata-kata, ungkapan, kiasan dan tindakan yang sendirinya juga terkai</w:t>
      </w:r>
      <w:r>
        <w:t>t pada satu budaya tertentu dan waktu tertentu.</w:t>
      </w:r>
      <w:r>
        <w:rPr>
          <w:vertAlign w:val="superscript"/>
        </w:rPr>
        <w:footnoteReference w:id="20"/>
      </w:r>
    </w:p>
    <w:p w:rsidR="0099578E" w:rsidRDefault="00526D5E">
      <w:pPr>
        <w:pStyle w:val="Bodytext20"/>
        <w:shd w:val="clear" w:color="auto" w:fill="auto"/>
        <w:spacing w:before="0" w:line="608" w:lineRule="exact"/>
        <w:ind w:firstLine="900"/>
      </w:pPr>
      <w:r>
        <w:t>Perwujudan berita sukacita dalam Injil, diarahkan pada salah satu hal yang paling mendasar, yaitu karya Allah untuk melepaskan manusia dari belenggu dosa melalui ’’pengampunan”. Berita pengampunan dosa ini t</w:t>
      </w:r>
      <w:r>
        <w:t>elah menjadi suatu kemutlakan pengajaran serta ajakan bagi manusia, bahwa ketika Allah mau dan berinisiatif mengampuni manusia, maka wajib hukumnya manusiapun harus mengampuni sesamanya. Hal ini terungkap dalam ”Doa Bapa Kami” yang diajarkan oleh Yesus pad</w:t>
      </w:r>
      <w:r>
        <w:t>a murid-murid-Nya:</w:t>
      </w:r>
    </w:p>
    <w:p w:rsidR="0099578E" w:rsidRDefault="00526D5E">
      <w:pPr>
        <w:pStyle w:val="Bodytext20"/>
        <w:shd w:val="clear" w:color="auto" w:fill="auto"/>
        <w:spacing w:before="0" w:line="304" w:lineRule="exact"/>
        <w:ind w:left="900" w:firstLine="0"/>
      </w:pPr>
      <w:r>
        <w:t>Dan ampunilah kami akan kesalahan kami, seperti kami juga mengampuni orang yang bersalah kepada kami; ... Karena jikalau kamu mengampuni kesalahan orang, Bapamu yang di sorga akan mengampuni kamu juga. Tetapi jikalau kamu tidak mengampun</w:t>
      </w:r>
      <w:r>
        <w:t>i orang, Bapamu juga tidak akan mengampuni kesalahanmu (6:12,14, 15).</w:t>
      </w:r>
    </w:p>
    <w:p w:rsidR="0099578E" w:rsidRDefault="00526D5E">
      <w:pPr>
        <w:pStyle w:val="Bodytext20"/>
        <w:shd w:val="clear" w:color="auto" w:fill="auto"/>
        <w:spacing w:before="0" w:line="613" w:lineRule="exact"/>
        <w:ind w:left="900" w:firstLine="0"/>
      </w:pPr>
      <w:r>
        <w:t>Lebih lanjut, konsep tentang pengampunan dalam Peijanjian Baru, dijabarkan</w:t>
      </w:r>
    </w:p>
    <w:p w:rsidR="0099578E" w:rsidRDefault="00526D5E">
      <w:pPr>
        <w:pStyle w:val="Bodytext20"/>
        <w:shd w:val="clear" w:color="auto" w:fill="auto"/>
        <w:spacing w:before="0" w:line="613" w:lineRule="exact"/>
        <w:ind w:firstLine="0"/>
      </w:pPr>
      <w:r>
        <w:t>dalam ajaran-ajaran praktis Yesus. Sorotan Yesus tentang rumusan ”mata ganti mata,</w:t>
      </w:r>
    </w:p>
    <w:p w:rsidR="0099578E" w:rsidRDefault="00526D5E">
      <w:pPr>
        <w:pStyle w:val="Bodytext20"/>
        <w:shd w:val="clear" w:color="auto" w:fill="auto"/>
        <w:spacing w:before="0" w:line="613" w:lineRule="exact"/>
        <w:ind w:firstLine="0"/>
      </w:pPr>
      <w:r>
        <w:t>gigi ganti gigi” seperti yan</w:t>
      </w:r>
      <w:r>
        <w:t>g termuat dalam hukum Taurat, kembali ditinjau ulang.</w:t>
      </w:r>
    </w:p>
    <w:p w:rsidR="0099578E" w:rsidRDefault="00526D5E">
      <w:pPr>
        <w:pStyle w:val="Bodytext20"/>
        <w:shd w:val="clear" w:color="auto" w:fill="auto"/>
        <w:spacing w:before="0" w:line="304" w:lineRule="exact"/>
        <w:ind w:left="900" w:firstLine="0"/>
      </w:pPr>
      <w:r>
        <w:t>Kamu telah mendengar firman: Mata ganti mata dan gigi ganti gigi. Tetapi Aku berkata kepadamu: Janganlah kamu melawan orang yang berbuat jahat kepadamu, melainkan siapa pun yang menampar pipi kananmu, b</w:t>
      </w:r>
      <w:r>
        <w:t xml:space="preserve">erilah juga kepadanya pipi kirimu </w:t>
      </w:r>
      <w:r>
        <w:rPr>
          <w:lang w:val="en-US" w:eastAsia="en-US" w:bidi="en-US"/>
        </w:rPr>
        <w:t xml:space="preserve">(Mat </w:t>
      </w:r>
      <w:r>
        <w:t>5:38-39).</w:t>
      </w:r>
    </w:p>
    <w:p w:rsidR="0099578E" w:rsidRDefault="00526D5E">
      <w:pPr>
        <w:pStyle w:val="Bodytext20"/>
        <w:shd w:val="clear" w:color="auto" w:fill="auto"/>
        <w:spacing w:before="0" w:line="613" w:lineRule="exact"/>
        <w:ind w:firstLine="900"/>
      </w:pPr>
      <w:r>
        <w:t>Pengaruh dari tinjauan Yesus atas ayat-ayat di atas dan tafsirannya telah membuka beragam jenis pengampunan, bukan hanya pengampunan dalam hal</w:t>
      </w:r>
    </w:p>
    <w:p w:rsidR="0099578E" w:rsidRDefault="00526D5E">
      <w:pPr>
        <w:pStyle w:val="Bodytext20"/>
        <w:shd w:val="clear" w:color="auto" w:fill="auto"/>
        <w:spacing w:before="0" w:line="608" w:lineRule="exact"/>
        <w:ind w:firstLine="0"/>
        <w:jc w:val="right"/>
      </w:pPr>
      <w:r>
        <w:t>pelanggaran pembunuhan ataupun kekerasan, tetapi pengampunan jau</w:t>
      </w:r>
      <w:r>
        <w:t>h lebih luas</w:t>
      </w:r>
    </w:p>
    <w:p w:rsidR="0099578E" w:rsidRDefault="00526D5E">
      <w:pPr>
        <w:pStyle w:val="Bodytext20"/>
        <w:shd w:val="clear" w:color="auto" w:fill="auto"/>
        <w:spacing w:before="0" w:line="608" w:lineRule="exact"/>
        <w:ind w:firstLine="0"/>
        <w:jc w:val="right"/>
      </w:pPr>
      <w:r>
        <w:t>menjangkau seluruh aspek kehidupan manusia seperti ajakan perdamaian dan juga</w:t>
      </w:r>
    </w:p>
    <w:p w:rsidR="0099578E" w:rsidRDefault="00526D5E">
      <w:pPr>
        <w:pStyle w:val="Bodytext20"/>
        <w:shd w:val="clear" w:color="auto" w:fill="auto"/>
        <w:spacing w:before="0" w:line="608" w:lineRule="exact"/>
        <w:ind w:firstLine="0"/>
        <w:jc w:val="left"/>
      </w:pPr>
      <w:r>
        <w:lastRenderedPageBreak/>
        <w:t>dalam relasi dengan sesama lewat kasih persaudaraan.</w:t>
      </w:r>
    </w:p>
    <w:p w:rsidR="0099578E" w:rsidRDefault="00526D5E">
      <w:pPr>
        <w:pStyle w:val="Bodytext20"/>
        <w:shd w:val="clear" w:color="auto" w:fill="auto"/>
        <w:spacing w:before="0" w:line="304" w:lineRule="exact"/>
        <w:ind w:left="920" w:firstLine="0"/>
      </w:pPr>
      <w:r>
        <w:rPr>
          <w:rStyle w:val="Bodytext2Italic"/>
        </w:rPr>
        <w:t>Matius 5:23-24:</w:t>
      </w:r>
      <w:r>
        <w:t xml:space="preserve"> "</w:t>
      </w:r>
      <w:r>
        <w:t xml:space="preserve">Sebab itu, jika engkau mempersembahkan persembahanmu di atas mezbah dan engkau teringat akan sesuatu yang ada dalam hati saudaramu terhadap engkau, tinggalkanlah persembahanmu di depan mezbah itu dan pergilah berdamai dahulu dengan saudaramu, laJu kembali </w:t>
      </w:r>
      <w:r>
        <w:t>untuk mempersembahkan persembahanmu itu”.</w:t>
      </w:r>
    </w:p>
    <w:p w:rsidR="0099578E" w:rsidRDefault="00526D5E">
      <w:pPr>
        <w:pStyle w:val="Bodytext20"/>
        <w:shd w:val="clear" w:color="auto" w:fill="auto"/>
        <w:spacing w:before="0" w:line="304" w:lineRule="exact"/>
        <w:ind w:left="920" w:firstLine="0"/>
      </w:pPr>
      <w:r>
        <w:rPr>
          <w:rStyle w:val="Bodytext2Italic"/>
        </w:rPr>
        <w:t>Matius 5:43-44:</w:t>
      </w:r>
      <w:r>
        <w:t xml:space="preserve"> “Kamu telah mendengar firman: Kasihilah sesamamu manusia dan bencilah musuhmu. Tetapi Aku berkata kepadamu: Kasihilah musuhmu dan berdoalah bagi mereka yang menganiaya kamu”.</w:t>
      </w:r>
    </w:p>
    <w:p w:rsidR="0099578E" w:rsidRDefault="00526D5E">
      <w:pPr>
        <w:pStyle w:val="Bodytext20"/>
        <w:shd w:val="clear" w:color="auto" w:fill="auto"/>
        <w:spacing w:before="0" w:line="613" w:lineRule="exact"/>
        <w:ind w:firstLine="0"/>
        <w:jc w:val="right"/>
      </w:pPr>
      <w:r>
        <w:t xml:space="preserve">Hikmat Yesus dalam hal </w:t>
      </w:r>
      <w:r>
        <w:t>pengampunan dinyatakan-Nya pula dalam kasus-</w:t>
      </w:r>
    </w:p>
    <w:p w:rsidR="0099578E" w:rsidRDefault="00526D5E">
      <w:pPr>
        <w:pStyle w:val="Bodytext20"/>
        <w:shd w:val="clear" w:color="auto" w:fill="auto"/>
        <w:spacing w:before="0" w:line="613" w:lineRule="exact"/>
        <w:ind w:firstLine="0"/>
        <w:jc w:val="right"/>
      </w:pPr>
      <w:r>
        <w:t>kasus menyangkut perzinahan. Dalam Injil Yohanis 8, diceritakan tentang kasus</w:t>
      </w:r>
    </w:p>
    <w:p w:rsidR="0099578E" w:rsidRDefault="00526D5E">
      <w:pPr>
        <w:pStyle w:val="Bodytext20"/>
        <w:shd w:val="clear" w:color="auto" w:fill="auto"/>
        <w:spacing w:before="0" w:line="613" w:lineRule="exact"/>
        <w:ind w:firstLine="0"/>
        <w:jc w:val="right"/>
      </w:pPr>
      <w:r>
        <w:t>perzinahan yang dilakukan oleh seorang perempuan dan secara nyata, perempuan</w:t>
      </w:r>
    </w:p>
    <w:p w:rsidR="0099578E" w:rsidRDefault="00526D5E">
      <w:pPr>
        <w:pStyle w:val="Bodytext20"/>
        <w:shd w:val="clear" w:color="auto" w:fill="auto"/>
        <w:spacing w:before="0" w:line="613" w:lineRule="exact"/>
        <w:ind w:firstLine="0"/>
        <w:jc w:val="right"/>
      </w:pPr>
      <w:r>
        <w:t>tersebut kedapatan berzinah. Tradisi Yahudi pada saat it</w:t>
      </w:r>
      <w:r>
        <w:t>u, dan hal ini dilegitimasi</w:t>
      </w:r>
    </w:p>
    <w:p w:rsidR="0099578E" w:rsidRDefault="00526D5E">
      <w:pPr>
        <w:pStyle w:val="Bodytext20"/>
        <w:shd w:val="clear" w:color="auto" w:fill="auto"/>
        <w:spacing w:before="0" w:line="613" w:lineRule="exact"/>
        <w:ind w:firstLine="0"/>
        <w:jc w:val="right"/>
      </w:pPr>
      <w:r>
        <w:t>oleh hukum Taurat, bahwa seseorang yang kedapatan berzinah, harus dirajam dengan</w:t>
      </w:r>
    </w:p>
    <w:p w:rsidR="0099578E" w:rsidRDefault="00526D5E">
      <w:pPr>
        <w:pStyle w:val="Bodytext20"/>
        <w:shd w:val="clear" w:color="auto" w:fill="auto"/>
        <w:spacing w:before="0" w:line="613" w:lineRule="exact"/>
        <w:ind w:firstLine="0"/>
        <w:jc w:val="right"/>
      </w:pPr>
      <w:r>
        <w:t>batu. Dengan dasar ini, ahli-ahli Taurat dan orang-orang Farisi membawa perempuan</w:t>
      </w:r>
    </w:p>
    <w:p w:rsidR="0099578E" w:rsidRDefault="00526D5E">
      <w:pPr>
        <w:pStyle w:val="Bodytext20"/>
        <w:shd w:val="clear" w:color="auto" w:fill="auto"/>
        <w:spacing w:before="0" w:line="613" w:lineRule="exact"/>
        <w:ind w:firstLine="0"/>
        <w:jc w:val="left"/>
      </w:pPr>
      <w:r>
        <w:t>ini kepada Yesus, dan mereka meminta pendapat Yesus atas kasus in</w:t>
      </w:r>
      <w:r>
        <w:t>i.</w:t>
      </w:r>
    </w:p>
    <w:p w:rsidR="0099578E" w:rsidRDefault="00526D5E">
      <w:pPr>
        <w:pStyle w:val="Bodytext20"/>
        <w:shd w:val="clear" w:color="auto" w:fill="auto"/>
        <w:spacing w:before="0" w:line="613" w:lineRule="exact"/>
        <w:ind w:firstLine="920"/>
      </w:pPr>
      <w:r>
        <w:t>Tetapi sikap Yesus mengagetkan semua orang, karena Yesus justru memberi</w:t>
      </w:r>
    </w:p>
    <w:p w:rsidR="0099578E" w:rsidRDefault="00526D5E">
      <w:pPr>
        <w:pStyle w:val="Bodytext20"/>
        <w:shd w:val="clear" w:color="auto" w:fill="auto"/>
        <w:spacing w:before="0" w:line="613" w:lineRule="exact"/>
        <w:ind w:firstLine="0"/>
        <w:jc w:val="right"/>
      </w:pPr>
      <w:r>
        <w:t>pengampunan bagi pezinah tersebut, dalam cara yang lain. Kata Yesus: ”Barangsiapa</w:t>
      </w:r>
    </w:p>
    <w:p w:rsidR="0099578E" w:rsidRDefault="00526D5E">
      <w:pPr>
        <w:pStyle w:val="Bodytext20"/>
        <w:shd w:val="clear" w:color="auto" w:fill="auto"/>
        <w:spacing w:before="0" w:line="613" w:lineRule="exact"/>
        <w:ind w:firstLine="0"/>
        <w:jc w:val="right"/>
      </w:pPr>
      <w:r>
        <w:t>di antara kamu tidak berdosa, hendaklah ia yang pertama melemparkan batu kepada</w:t>
      </w:r>
    </w:p>
    <w:p w:rsidR="0099578E" w:rsidRDefault="00526D5E">
      <w:pPr>
        <w:pStyle w:val="Bodytext20"/>
        <w:shd w:val="clear" w:color="auto" w:fill="auto"/>
        <w:spacing w:before="0" w:line="613" w:lineRule="exact"/>
        <w:ind w:firstLine="0"/>
        <w:jc w:val="left"/>
      </w:pPr>
      <w:r>
        <w:t>perempuan itu” (Yoh</w:t>
      </w:r>
      <w:r>
        <w:t>. 8:7).</w:t>
      </w:r>
    </w:p>
    <w:p w:rsidR="0099578E" w:rsidRDefault="00526D5E">
      <w:pPr>
        <w:pStyle w:val="Bodytext20"/>
        <w:shd w:val="clear" w:color="auto" w:fill="auto"/>
        <w:spacing w:before="0" w:line="613" w:lineRule="exact"/>
        <w:ind w:firstLine="920"/>
      </w:pPr>
      <w:r>
        <w:t>Secara logika, orang Farisi dan ahli-ahli Taurat menyadari dirinya bahwa tidak seorangpun diantara mereka yang lepas dari dosa, sehingga dengan kesadaran itu satu-persatu mereka mulai meninggalkan tempat itu (Yoh. 8:1-11).</w:t>
      </w:r>
    </w:p>
    <w:p w:rsidR="0099578E" w:rsidRDefault="00526D5E">
      <w:pPr>
        <w:pStyle w:val="Bodytext20"/>
        <w:shd w:val="clear" w:color="auto" w:fill="auto"/>
        <w:spacing w:before="0" w:line="647" w:lineRule="exact"/>
        <w:ind w:firstLine="0"/>
        <w:jc w:val="right"/>
      </w:pPr>
      <w:r>
        <w:t xml:space="preserve">Cakupan tentang </w:t>
      </w:r>
      <w:r>
        <w:t>pengampunan dalam Peijanjian Baru cukup luas sehingga</w:t>
      </w:r>
    </w:p>
    <w:p w:rsidR="0099578E" w:rsidRDefault="00526D5E">
      <w:pPr>
        <w:pStyle w:val="Bodytext20"/>
        <w:shd w:val="clear" w:color="auto" w:fill="auto"/>
        <w:spacing w:before="0" w:line="647" w:lineRule="exact"/>
        <w:ind w:firstLine="0"/>
        <w:jc w:val="right"/>
      </w:pPr>
      <w:r>
        <w:t>pada akhirnya disadari bahwa dalam hubungan dengan sesama, seharusnya ada</w:t>
      </w:r>
    </w:p>
    <w:p w:rsidR="0099578E" w:rsidRDefault="00526D5E">
      <w:pPr>
        <w:pStyle w:val="Bodytext20"/>
        <w:shd w:val="clear" w:color="auto" w:fill="auto"/>
        <w:spacing w:before="0" w:line="647" w:lineRule="exact"/>
        <w:ind w:firstLine="0"/>
        <w:jc w:val="right"/>
      </w:pPr>
      <w:r>
        <w:t>pengampunan yang tiada batas. Prinsip tentang pengampunan yang tiada batas ini</w:t>
      </w:r>
    </w:p>
    <w:p w:rsidR="0099578E" w:rsidRDefault="00526D5E">
      <w:pPr>
        <w:pStyle w:val="Bodytext20"/>
        <w:shd w:val="clear" w:color="auto" w:fill="auto"/>
        <w:spacing w:before="0" w:line="647" w:lineRule="exact"/>
        <w:ind w:firstLine="0"/>
        <w:jc w:val="left"/>
      </w:pPr>
      <w:r>
        <w:lastRenderedPageBreak/>
        <w:t xml:space="preserve">diuraikan dalam dialog antara Yesus </w:t>
      </w:r>
      <w:r>
        <w:rPr>
          <w:lang w:val="en-US" w:eastAsia="en-US" w:bidi="en-US"/>
        </w:rPr>
        <w:t xml:space="preserve">dan Petrus. </w:t>
      </w:r>
      <w:r>
        <w:t>Berikut kutipannya:</w:t>
      </w:r>
    </w:p>
    <w:p w:rsidR="0099578E" w:rsidRDefault="00526D5E">
      <w:pPr>
        <w:pStyle w:val="Bodytext20"/>
        <w:shd w:val="clear" w:color="auto" w:fill="auto"/>
        <w:spacing w:before="0" w:after="455" w:line="304" w:lineRule="exact"/>
        <w:ind w:left="920" w:firstLine="0"/>
      </w:pPr>
      <w:r>
        <w:t xml:space="preserve">Kemudian datanglah </w:t>
      </w:r>
      <w:r>
        <w:rPr>
          <w:lang w:val="en-US" w:eastAsia="en-US" w:bidi="en-US"/>
        </w:rPr>
        <w:t xml:space="preserve">Petrus </w:t>
      </w:r>
      <w:r>
        <w:t>dan berkata kepada Yesus: “Tuhan, sampai berapa kali aku harus mengampuni saudaraku jika ia berbuat dosa terhadap aku? Sampai tujuh kali?” Yesus berkata kepadanya: ”Bukan! Aku berkata kepadamu: Bukan sampai tuj</w:t>
      </w:r>
      <w:r>
        <w:t xml:space="preserve">uh kali, melainkan sampai tujuh puluh kali tujuh </w:t>
      </w:r>
      <w:r>
        <w:rPr>
          <w:lang w:val="en-US" w:eastAsia="en-US" w:bidi="en-US"/>
        </w:rPr>
        <w:t xml:space="preserve">kali” (Mat. </w:t>
      </w:r>
      <w:r>
        <w:t>18:21-22).</w:t>
      </w:r>
    </w:p>
    <w:p w:rsidR="0099578E" w:rsidRDefault="00526D5E">
      <w:pPr>
        <w:pStyle w:val="Heading10"/>
        <w:keepNext/>
        <w:keepLines/>
        <w:shd w:val="clear" w:color="auto" w:fill="auto"/>
        <w:spacing w:before="0" w:after="597" w:line="260" w:lineRule="exact"/>
        <w:ind w:left="480"/>
        <w:jc w:val="left"/>
      </w:pPr>
      <w:bookmarkStart w:id="10" w:name="bookmark9"/>
      <w:r>
        <w:t>2. Pertentangan Pengampunan dalam Sejarah Gereja</w:t>
      </w:r>
      <w:bookmarkEnd w:id="10"/>
    </w:p>
    <w:p w:rsidR="0099578E" w:rsidRDefault="00526D5E">
      <w:pPr>
        <w:pStyle w:val="Heading10"/>
        <w:keepNext/>
        <w:keepLines/>
        <w:shd w:val="clear" w:color="auto" w:fill="auto"/>
        <w:spacing w:before="0" w:after="294" w:line="260" w:lineRule="exact"/>
        <w:ind w:firstLine="920"/>
        <w:jc w:val="both"/>
      </w:pPr>
      <w:bookmarkStart w:id="11" w:name="bookmark10"/>
      <w:r>
        <w:t>a. Pertentangan Cyprianus dan Novatianus</w:t>
      </w:r>
      <w:bookmarkEnd w:id="11"/>
    </w:p>
    <w:p w:rsidR="0099578E" w:rsidRDefault="00526D5E">
      <w:pPr>
        <w:pStyle w:val="Bodytext20"/>
        <w:shd w:val="clear" w:color="auto" w:fill="auto"/>
        <w:spacing w:before="0" w:line="647" w:lineRule="exact"/>
        <w:ind w:firstLine="920"/>
      </w:pPr>
      <w:r>
        <w:t>Dalam sejarah gereja, pernah teijadi pertentangan-pertentangan di sekitar pengampunan, khususn</w:t>
      </w:r>
      <w:r>
        <w:t>ya bagi orang-orang Kristen yang karena penganiayaan mereka harus menyangkal imannya (murtad). Persoalan yang muncul kemudian adalah nasib mereka yang telah murtad itu, ketika mereka telah lepas dari penganiayaan dan ingin kembali bertobat untuk masuk kemb</w:t>
      </w:r>
      <w:r>
        <w:t xml:space="preserve">ali ke dalam persekutuan </w:t>
      </w:r>
      <w:r>
        <w:rPr>
          <w:vertAlign w:val="superscript"/>
        </w:rPr>
        <w:footnoteReference w:id="21"/>
      </w:r>
      <w:r>
        <w:t xml:space="preserve"> gereja. Tradisi gereja pada saat itu, menolak orang-orang yang telah murtad untuk kembali ke dalam persekutuan gereja.</w:t>
      </w:r>
    </w:p>
    <w:p w:rsidR="0099578E" w:rsidRDefault="00526D5E">
      <w:pPr>
        <w:pStyle w:val="Bodytext20"/>
        <w:shd w:val="clear" w:color="auto" w:fill="auto"/>
        <w:spacing w:before="0" w:line="338" w:lineRule="exact"/>
        <w:ind w:left="920" w:firstLine="0"/>
      </w:pPr>
      <w:r>
        <w:t>Biasanya orang yang murtad (menyangkal imannya) tidak diterima kembali oleh gereja. Tetapi apa yang harus dila</w:t>
      </w:r>
      <w:r>
        <w:t xml:space="preserve">kukan dengan jumlah besar orang yang ingin kembali? Ada dua masalah, </w:t>
      </w:r>
      <w:r>
        <w:rPr>
          <w:rStyle w:val="Bodytext2Italic"/>
        </w:rPr>
        <w:t>pertama,</w:t>
      </w:r>
      <w:r>
        <w:t xml:space="preserve"> apakah mereka yang tergelincir itu segera harus diterima kembali atau hanya setelah menjalani masa pengukuman (yaitu pengakuan di depan umum, diikuti dengan masa penyesalan ketat</w:t>
      </w:r>
      <w:r>
        <w:t xml:space="preserve">) atau sama sekali tidak. </w:t>
      </w:r>
      <w:r>
        <w:rPr>
          <w:rStyle w:val="Bodytext2Italic"/>
        </w:rPr>
        <w:t>Kedua</w:t>
      </w:r>
      <w:r>
        <w:t xml:space="preserve">, </w:t>
      </w:r>
      <w:r>
        <w:lastRenderedPageBreak/>
        <w:t>siapa yang berhak memutuskannya?</w:t>
      </w:r>
      <w:r>
        <w:rPr>
          <w:vertAlign w:val="superscript"/>
        </w:rPr>
        <w:footnoteReference w:id="22"/>
      </w:r>
    </w:p>
    <w:p w:rsidR="0099578E" w:rsidRDefault="00526D5E">
      <w:pPr>
        <w:pStyle w:val="Bodytext20"/>
        <w:shd w:val="clear" w:color="auto" w:fill="auto"/>
        <w:spacing w:before="0" w:line="647" w:lineRule="exact"/>
        <w:ind w:firstLine="920"/>
      </w:pPr>
      <w:r>
        <w:t>Menghadapi persoalan seperti ini, adalah Thascius Caecilius Cyprianus yang berasal dari Kartago, yang diangkat jadi presbiter atau penatua pada tahun 248 di Kartago, propinsi Roma - Afrika,</w:t>
      </w:r>
      <w:r>
        <w:t xml:space="preserve"> yang menaruh perhatian serius atas hal ini</w:t>
      </w:r>
      <w:r>
        <w:rPr>
          <w:vertAlign w:val="superscript"/>
        </w:rPr>
        <w:footnoteReference w:id="23"/>
      </w:r>
      <w:r>
        <w:t xml:space="preserve"> Situasi sulit yang dialami oleh orang Kristen dalam penganiayaan dan kemurtadan, membuat ia terbeban untuk mau menerima mereka yang telah murtad itu, kembali ke dalam gereja, walau ia menyadari bahwa apa yang ia</w:t>
      </w:r>
      <w:r>
        <w:t xml:space="preserve"> akan lakukan, jelas bertentangan dengan tradisi gereja. Ia berpendapat bahwa pengampunan yang diterima oleh mereka yang telah murtad, serta kuasa untuk menentukan nasib mereka, mutlak berada di tangan para uskup.</w:t>
      </w:r>
      <w:r>
        <w:rPr>
          <w:vertAlign w:val="superscript"/>
        </w:rPr>
        <w:t>24</w:t>
      </w:r>
    </w:p>
    <w:p w:rsidR="0099578E" w:rsidRDefault="00526D5E">
      <w:pPr>
        <w:pStyle w:val="Bodytext20"/>
        <w:shd w:val="clear" w:color="auto" w:fill="auto"/>
        <w:spacing w:before="0" w:line="647" w:lineRule="exact"/>
        <w:ind w:firstLine="920"/>
      </w:pPr>
      <w:r>
        <w:t xml:space="preserve">Dasar pemikiran Cyprianus tentang </w:t>
      </w:r>
      <w:r>
        <w:t>kekuasaan uskup untuk memberikan pengampunan bagi mereka yang telah murtad, dimotivasi oleh adanya reaksi orang Kristen atas sikap Cyprianus. Cyprianus menulis sebuah buku yang berjudul “Keesaan Gereja”.</w:t>
      </w:r>
    </w:p>
    <w:p w:rsidR="0099578E" w:rsidRDefault="00526D5E">
      <w:pPr>
        <w:pStyle w:val="Bodytext20"/>
        <w:shd w:val="clear" w:color="auto" w:fill="auto"/>
        <w:spacing w:before="0" w:after="280" w:line="309" w:lineRule="exact"/>
        <w:ind w:left="920" w:firstLine="0"/>
      </w:pPr>
      <w:r>
        <w:t>Kesatuan gereja terpusat pada uskup ... uskup adalah</w:t>
      </w:r>
      <w:r>
        <w:t xml:space="preserve"> di dalam gereja dan gereja di dalam uskup. Barangsiapa tidak bersama uskup, ia tidak berada di dalam gereja. Uskup-uskup adalah pengganti rasul artinya kepada mereka telah diserahterimakan tugas-tugas para rasul. Seorang uskup adalah yang tertinggi di dal</w:t>
      </w:r>
      <w:r>
        <w:t>am gerejanya sendiri, walaupun ia hanya menjadi uskup dalam persekutuan dengan usukp-uskup lain dari gereja Katolik.</w:t>
      </w:r>
      <w:r>
        <w:rPr>
          <w:vertAlign w:val="superscript"/>
        </w:rPr>
        <w:footnoteReference w:id="24"/>
      </w:r>
    </w:p>
    <w:p w:rsidR="0099578E" w:rsidRDefault="00526D5E">
      <w:pPr>
        <w:pStyle w:val="Bodytext20"/>
        <w:shd w:val="clear" w:color="auto" w:fill="auto"/>
        <w:spacing w:before="0" w:after="351" w:line="260" w:lineRule="exact"/>
        <w:ind w:firstLine="920"/>
      </w:pPr>
      <w:r>
        <w:t>Peran Cyprianus yang terpenting adalah perjuangannya menerima pertobatan</w:t>
      </w:r>
    </w:p>
    <w:p w:rsidR="0099578E" w:rsidRDefault="00526D5E">
      <w:pPr>
        <w:pStyle w:val="Bodytext20"/>
        <w:shd w:val="clear" w:color="auto" w:fill="auto"/>
        <w:spacing w:before="0" w:after="324" w:line="260" w:lineRule="exact"/>
        <w:ind w:firstLine="0"/>
        <w:jc w:val="left"/>
      </w:pPr>
      <w:r>
        <w:t>orang-orang murtad pada Konsili Kartago pada tahun 251.</w:t>
      </w:r>
    </w:p>
    <w:p w:rsidR="0099578E" w:rsidRDefault="00526D5E">
      <w:pPr>
        <w:pStyle w:val="Bodytext20"/>
        <w:shd w:val="clear" w:color="auto" w:fill="auto"/>
        <w:spacing w:before="0" w:line="309" w:lineRule="exact"/>
        <w:ind w:left="920" w:firstLine="0"/>
      </w:pPr>
      <w:r>
        <w:t>Pada Kons</w:t>
      </w:r>
      <w:r>
        <w:t>ili Kartago diputuskan bahwa mereka yang murtad boleh kembali ke gereja setelah menjalani masa penghukuman, untuk menyatakan pertobatannya. Tahun berikutnya, walau dibayangi oleh kemungkinan penganiayaan kembali, diadakan lagi konsili yang memutuskan bahwa</w:t>
      </w:r>
      <w:r>
        <w:t xml:space="preserve"> mereka yang segera menjalani masa penghukuman itu, langsung diisinkan kembali ke dalam gereja.</w:t>
      </w:r>
      <w:r>
        <w:rPr>
          <w:vertAlign w:val="superscript"/>
        </w:rPr>
        <w:footnoteReference w:id="25"/>
      </w:r>
      <w:r>
        <w:rPr>
          <w:vertAlign w:val="superscript"/>
        </w:rPr>
        <w:t xml:space="preserve"> </w:t>
      </w:r>
      <w:r>
        <w:rPr>
          <w:vertAlign w:val="superscript"/>
        </w:rPr>
        <w:footnoteReference w:id="26"/>
      </w:r>
    </w:p>
    <w:p w:rsidR="0099578E" w:rsidRDefault="00526D5E">
      <w:pPr>
        <w:pStyle w:val="Bodytext20"/>
        <w:shd w:val="clear" w:color="auto" w:fill="auto"/>
        <w:spacing w:before="0" w:line="653" w:lineRule="exact"/>
        <w:ind w:firstLine="920"/>
      </w:pPr>
      <w:r>
        <w:lastRenderedPageBreak/>
        <w:t>Prinsip pengampunan bagi mereka yang murtad, yang diprakarsai dan diperjuangkan oleh Cyprianus, ternyata menimbulkan reaksi beragam dari orang- orang Kristen</w:t>
      </w:r>
      <w:r>
        <w:t>. Adalah Novatianus, seorang presbiter yang sangat berbakat dari Roma, karena kekecewaannya tidak diterima sebagai uskup, lalu mengangkat dirinya sendiri menjadi uskup. Bukan hanya sampai menduduki kursi keuskupan tetapi dia memisahkan diri dari gereja den</w:t>
      </w:r>
      <w:r>
        <w:t>gan membentuk uskup tandingan. Gerejanya yang</w:t>
      </w:r>
    </w:p>
    <w:p w:rsidR="0099578E" w:rsidRDefault="00526D5E">
      <w:pPr>
        <w:pStyle w:val="Bodytext90"/>
        <w:shd w:val="clear" w:color="auto" w:fill="auto"/>
        <w:spacing w:line="160" w:lineRule="exact"/>
        <w:ind w:left="6400"/>
      </w:pPr>
      <w:r>
        <w:t>27</w:t>
      </w:r>
    </w:p>
    <w:p w:rsidR="0099578E" w:rsidRDefault="00526D5E">
      <w:pPr>
        <w:pStyle w:val="Bodytext20"/>
        <w:shd w:val="clear" w:color="auto" w:fill="auto"/>
        <w:spacing w:before="0" w:after="657" w:line="260" w:lineRule="exact"/>
        <w:ind w:firstLine="0"/>
        <w:jc w:val="left"/>
      </w:pPr>
      <w:r>
        <w:t>dibangun itu, tidak menerima mereka yang telah murtad.</w:t>
      </w:r>
    </w:p>
    <w:p w:rsidR="0099578E" w:rsidRDefault="00526D5E">
      <w:pPr>
        <w:pStyle w:val="Heading10"/>
        <w:keepNext/>
        <w:keepLines/>
        <w:shd w:val="clear" w:color="auto" w:fill="auto"/>
        <w:spacing w:before="0" w:after="186" w:line="260" w:lineRule="exact"/>
        <w:ind w:firstLine="920"/>
        <w:jc w:val="both"/>
      </w:pPr>
      <w:bookmarkStart w:id="12" w:name="bookmark11"/>
      <w:r>
        <w:t>b. Pandangan Zending di Mamasa tentang Budaya</w:t>
      </w:r>
      <w:bookmarkEnd w:id="12"/>
    </w:p>
    <w:p w:rsidR="0099578E" w:rsidRDefault="00526D5E">
      <w:pPr>
        <w:pStyle w:val="Bodytext20"/>
        <w:shd w:val="clear" w:color="auto" w:fill="auto"/>
        <w:spacing w:before="0" w:line="563" w:lineRule="exact"/>
        <w:ind w:firstLine="920"/>
      </w:pPr>
      <w:r>
        <w:t xml:space="preserve">Studi tentang Injil dan kebudayaan, mengingatkan kita pada sebuah karya besar H. </w:t>
      </w:r>
      <w:r>
        <w:rPr>
          <w:lang w:val="en-US" w:eastAsia="en-US" w:bidi="en-US"/>
        </w:rPr>
        <w:t xml:space="preserve">Richard Niebuhr </w:t>
      </w:r>
      <w:r>
        <w:t xml:space="preserve">dalam bukunya yang terkenal yaitu </w:t>
      </w:r>
      <w:r>
        <w:rPr>
          <w:lang w:val="en-US" w:eastAsia="en-US" w:bidi="en-US"/>
        </w:rPr>
        <w:t xml:space="preserve">"Christ and Culture" </w:t>
      </w:r>
      <w:r>
        <w:t>(Kristus dan Kebudayaan).</w:t>
      </w:r>
      <w:r>
        <w:rPr>
          <w:vertAlign w:val="superscript"/>
        </w:rPr>
        <w:footnoteReference w:id="27"/>
      </w:r>
      <w:r>
        <w:t xml:space="preserve"> H. </w:t>
      </w:r>
      <w:r>
        <w:rPr>
          <w:lang w:val="en-US" w:eastAsia="en-US" w:bidi="en-US"/>
        </w:rPr>
        <w:t xml:space="preserve">Richard Niebuhr </w:t>
      </w:r>
      <w:r>
        <w:t>menyebutkan lima sikap dasar gereja terhadap kebudayaan yang pernah dan akan tetap muncul dalam sejarah gereja, sebagai masalah yang tidak akan pernah sele</w:t>
      </w:r>
      <w:r>
        <w:t xml:space="preserve">sai </w:t>
      </w:r>
      <w:r>
        <w:rPr>
          <w:rStyle w:val="Bodytext2Italic"/>
        </w:rPr>
        <w:t>(</w:t>
      </w:r>
      <w:r>
        <w:rPr>
          <w:rStyle w:val="Bodytext2Italic"/>
          <w:lang w:val="en-US" w:eastAsia="en-US" w:bidi="en-US"/>
        </w:rPr>
        <w:t xml:space="preserve">enduring </w:t>
      </w:r>
      <w:r>
        <w:rPr>
          <w:rStyle w:val="Bodytext2Italic"/>
        </w:rPr>
        <w:t>problem</w:t>
      </w:r>
      <w:r>
        <w:t>). Kelima sikap dasar itu adalah:</w:t>
      </w:r>
    </w:p>
    <w:p w:rsidR="0099578E" w:rsidRDefault="00526D5E">
      <w:pPr>
        <w:pStyle w:val="Bodytext20"/>
        <w:shd w:val="clear" w:color="auto" w:fill="auto"/>
        <w:spacing w:before="0" w:line="636" w:lineRule="exact"/>
        <w:ind w:firstLine="0"/>
      </w:pPr>
      <w:r>
        <w:rPr>
          <w:rStyle w:val="Bodytext2Italic"/>
        </w:rPr>
        <w:t>Pertama</w:t>
      </w:r>
      <w:r>
        <w:t xml:space="preserve"> : Kristus melawan kebudayaan. Ini adalah sikap eksklusif di mana kebudayaan dianggap sebagai kegelapan yang harus ditaklukkan oleh terang Injil Yesus Kristus. Hubungan antara Injil dan kebudayaan, bagaikan hubungan antara terang dan kegelapan. Sikap ini p</w:t>
      </w:r>
      <w:r>
        <w:t xml:space="preserve">ernah </w:t>
      </w:r>
      <w:r>
        <w:lastRenderedPageBreak/>
        <w:t>dilakukan oleh Zending pada masa-masa awaJ pemberitaan Injil di Mamasa. Segala bentuk kebudayaan, dipandang sebagai produk dosa, dan karena itu harus dihilangkan dan diganti dengan kebudayaan baru yaitu kebudayaan yang mereka bawa dari negeri Belanda</w:t>
      </w:r>
      <w:r>
        <w:t>.</w:t>
      </w:r>
    </w:p>
    <w:p w:rsidR="0099578E" w:rsidRDefault="00526D5E">
      <w:pPr>
        <w:pStyle w:val="Bodytext20"/>
        <w:shd w:val="clear" w:color="auto" w:fill="auto"/>
        <w:spacing w:before="0" w:line="636" w:lineRule="exact"/>
        <w:ind w:firstLine="0"/>
      </w:pPr>
      <w:r>
        <w:rPr>
          <w:rStyle w:val="Bodytext2Italic"/>
        </w:rPr>
        <w:t>Kedua</w:t>
      </w:r>
      <w:r>
        <w:t xml:space="preserve">: Kristus dari kebudayaan. Sikap ini menekankan tentang kebudayaan yang dinilai secara positif karena dipandang bahwa Allah bekeija melalui kebudayaan. </w:t>
      </w:r>
      <w:r>
        <w:rPr>
          <w:rStyle w:val="Bodytext2Italic"/>
        </w:rPr>
        <w:t>Ketiga</w:t>
      </w:r>
      <w:r>
        <w:t xml:space="preserve"> : Kristus di atas kebudayaan. Sikap ini didasarkan pada pandangan teologis yang ditentukan</w:t>
      </w:r>
      <w:r>
        <w:t xml:space="preserve"> oleh hubungan Allah dengan manusia. Sekalipun sikap ini menunjukkan adanya perpaduan antara Injil dan kebudayaan, namun sikap ini menegaskan bahwa Kristus tetap mengatasi atau lebih daripada kebudayaan. Dia (Yesus Kristus) adalah Tuhan di atas kebudayaan.</w:t>
      </w:r>
      <w:r>
        <w:t xml:space="preserve"> Anugerah dan alam tidak bertentangan melainkan anugerah menyempurnakan alam.</w:t>
      </w:r>
    </w:p>
    <w:p w:rsidR="0099578E" w:rsidRDefault="00526D5E">
      <w:pPr>
        <w:pStyle w:val="Bodytext20"/>
        <w:shd w:val="clear" w:color="auto" w:fill="auto"/>
        <w:spacing w:before="0" w:line="613" w:lineRule="exact"/>
        <w:ind w:firstLine="0"/>
      </w:pPr>
      <w:r>
        <w:rPr>
          <w:rStyle w:val="Bodytext2Italic"/>
        </w:rPr>
        <w:t>Keempat</w:t>
      </w:r>
      <w:r>
        <w:t xml:space="preserve"> : Kristus transformator kebudayaan, yaitu keyakinan-keyakinan teologis bahwa kebudayaan di satu pihak merupakan usaha manusia untuk memuliakan Allah, tetapi di lain pihak</w:t>
      </w:r>
      <w:r>
        <w:t>, kebudayaan merupakan manifestasi pemuliaan manusia yang memberontak kepada Allah.</w:t>
      </w:r>
    </w:p>
    <w:p w:rsidR="0099578E" w:rsidRDefault="00526D5E">
      <w:pPr>
        <w:pStyle w:val="Bodytext20"/>
        <w:shd w:val="clear" w:color="auto" w:fill="auto"/>
        <w:spacing w:before="0" w:line="613" w:lineRule="exact"/>
        <w:ind w:firstLine="900"/>
      </w:pPr>
      <w:r>
        <w:t>Pada dasarnya, mereka yang bersikap radikal terhadap kebudayaan melihat kebudayaan hanya dari satu sudut yakni dari sudut negatifnya saja, dan dengan demikian, menjauhi keb</w:t>
      </w:r>
      <w:r>
        <w:t>udayaan. Hal ini bertentangan dengan ungkapan Alkitabah bahwa kebudayaan itu adalah sesuatu yang diperintahkan dan ditegaskan oleh Allah kepada manusia. ’Tuhan Allah mengambil manusia itu dan menempatkannya dalam taman Eden untuk mengusahakan dan memelihar</w:t>
      </w:r>
      <w:r>
        <w:t>a taman itu” (Kej. 1:26).</w:t>
      </w:r>
    </w:p>
    <w:p w:rsidR="0099578E" w:rsidRDefault="00526D5E">
      <w:pPr>
        <w:pStyle w:val="Bodytext20"/>
        <w:shd w:val="clear" w:color="auto" w:fill="auto"/>
        <w:spacing w:before="0" w:line="613" w:lineRule="exact"/>
        <w:ind w:firstLine="900"/>
      </w:pPr>
      <w:r>
        <w:t xml:space="preserve">Ayat ini jelas mengemukakan tentang maksud Allah menempatkan manusia dalam taman Eden. Kata mengusahakan dan memelihara di sini berarti bahwa manusia harus berupaya </w:t>
      </w:r>
      <w:r>
        <w:lastRenderedPageBreak/>
        <w:t>menggunakan akal budinya dalam mengeijakan dan memanfaatkan semua</w:t>
      </w:r>
      <w:r>
        <w:t xml:space="preserve"> potensi yang ada untuk memenuhi kebutuhan hidupnya Dalam rangka inilah manusia membentuk kebudayaan itu, yang pada hakekatnya adalah bagian yang tak terpisahkan dari hidup manusia itu sendiri. Namun tidak dapat disangkal bahwa kebudayaan juga, tidak luput</w:t>
      </w:r>
      <w:r>
        <w:t xml:space="preserve"> dari pemberontakan terhadap Tuhan karena sumbernya adalah manusia yang sudah memberontak, karena itu kebudayaan tercemar oleh dosa. Tetapi tidak berarti kebudayaan sebagai hasil ciptaan manusia yang berdosa, adalah seluruhnya penuh dosa, dan karena itu se</w:t>
      </w:r>
      <w:r>
        <w:t>mua bentuk kebudayaan harus ditolak.</w:t>
      </w:r>
    </w:p>
    <w:p w:rsidR="0099578E" w:rsidRDefault="00526D5E">
      <w:pPr>
        <w:pStyle w:val="Bodytext20"/>
        <w:shd w:val="clear" w:color="auto" w:fill="auto"/>
        <w:spacing w:before="0" w:line="585" w:lineRule="exact"/>
        <w:ind w:firstLine="880"/>
      </w:pPr>
      <w:r>
        <w:t>Dalam hubungan ini perlu dikemukakan tentang adanya ’’sikap antagonistis” terhadap kebudayaan dan agama Asia oleh kalangan Kristen tertentu di Barat.' Mereka menganggap bahwa semua unsur kebudayaan dalam agama Asia berp</w:t>
      </w:r>
      <w:r>
        <w:t>autan dengan ibadat terhadap berhala karena bertentangan dengan Injil dan harus ditolak dalam kekristenan. Pandangan demikian tidak seluruhnya benar sesuai dengan kenyataan yang ada, dan karena itu tidak dapat dipertahankan. Memang, tidak dapat disangkal b</w:t>
      </w:r>
      <w:r>
        <w:t>ahwa banyak bentuk-bentuk kebudayaan di Asia yang berkaitan dengan penyembahan berhala, bahkan dalam agama suku di Pitu Ulunna Salu yaitu ’’kepercayaan Mappurondo” misalnya, mencakup hampir semua kebudayaan, karena dilaksanakan berkaitan upacara-upacara ku</w:t>
      </w:r>
      <w:r>
        <w:t>ltus dan agama suku di sana Tetapi hal itu tidak dapat menjadi alasan bagi masyarakat yang ada di wilayah Pitu Ulunna Salu untuk menjauhi kebudayaan setempat, lalu kembali memulai dari awal dan mencari bentuk-bentuk lain, atau mempelajari dan mengambil ali</w:t>
      </w:r>
      <w:r>
        <w:t>h bentuk kebudayaan Yahudi atau kebudayaan Barat yang mungkin dianggap lebih sesuai dengan iman Kristen.</w:t>
      </w:r>
    </w:p>
    <w:p w:rsidR="0099578E" w:rsidRDefault="00526D5E">
      <w:pPr>
        <w:pStyle w:val="Bodytext20"/>
        <w:shd w:val="clear" w:color="auto" w:fill="auto"/>
        <w:spacing w:before="0" w:line="585" w:lineRule="exact"/>
        <w:ind w:firstLine="880"/>
      </w:pPr>
      <w:r>
        <w:t xml:space="preserve">Dalam hal ini, kita dapat mengajukan pertanyaan teologis: ’’mengapa Injil dapat berada secara </w:t>
      </w:r>
      <w:r>
        <w:rPr>
          <w:lang w:val="en-US" w:eastAsia="en-US" w:bidi="en-US"/>
        </w:rPr>
        <w:t xml:space="preserve">Incognito </w:t>
      </w:r>
      <w:r>
        <w:t>di dalam ekspensionisme Barat, tetapi tidak dal</w:t>
      </w:r>
      <w:r>
        <w:t xml:space="preserve">am kebudayaan Asia? Jika pada prinsipnya Injil dapat berdiam di dalam suatu kebudayaan tertentu, maka semestinya </w:t>
      </w:r>
      <w:r>
        <w:lastRenderedPageBreak/>
        <w:t>dapat pula dalam kebudayaan lain/’</w:t>
      </w:r>
      <w:r>
        <w:rPr>
          <w:vertAlign w:val="superscript"/>
        </w:rPr>
        <w:t>0</w:t>
      </w:r>
    </w:p>
    <w:p w:rsidR="0099578E" w:rsidRDefault="00526D5E">
      <w:pPr>
        <w:pStyle w:val="Bodytext20"/>
        <w:shd w:val="clear" w:color="auto" w:fill="auto"/>
        <w:spacing w:before="0" w:line="619" w:lineRule="exact"/>
        <w:ind w:firstLine="880"/>
      </w:pPr>
      <w:r>
        <w:t>Sesungguhnya hal ini akan sulit sekali bahkan tidak mungkin bagi masyarakat Pitu Ulunna Salu yang sudah men</w:t>
      </w:r>
      <w:r>
        <w:t xml:space="preserve">erima Injil, untuk melepaskan diri dari kebudayaan </w:t>
      </w:r>
      <w:r>
        <w:rPr>
          <w:vertAlign w:val="superscript"/>
        </w:rPr>
        <w:footnoteReference w:id="28"/>
      </w:r>
      <w:r>
        <w:rPr>
          <w:vertAlign w:val="superscript"/>
        </w:rPr>
        <w:t xml:space="preserve"> </w:t>
      </w:r>
      <w:r>
        <w:rPr>
          <w:vertAlign w:val="superscript"/>
        </w:rPr>
        <w:footnoteReference w:id="29"/>
      </w:r>
      <w:r>
        <w:t xml:space="preserve"> mereka yang sudah menjadi warisan selama berabad-abad. Di sinilah gereja atau umat Kristen harus dapat menilai dan mengambil keputusan-keputusan dalam hal apa saja dan dalam bentuk-bentuk yang bagaiman</w:t>
      </w:r>
      <w:r>
        <w:t>a unsur-unsur dalam kebudayaan itu dapat diterima dalam terang Injil Yesus Kristus. Karena bagaimanapun juga, Injil harus dikontekstualisasikan dalam kebudayaan setempat.</w:t>
      </w:r>
      <w:r>
        <w:rPr>
          <w:vertAlign w:val="superscript"/>
        </w:rPr>
        <w:footnoteReference w:id="30"/>
      </w:r>
      <w:r>
        <w:t xml:space="preserve"> Namun hal ini bukan berarti bahwa Injil harus dikorbankan atau disesuaikan begitu sa</w:t>
      </w:r>
      <w:r>
        <w:t>ja dengan unsur- unsur kebudayaan pada umumnya dan secara khusus dalam soal-soal yang berhubungan dengan ”Ada Tuo”.</w:t>
      </w:r>
    </w:p>
    <w:p w:rsidR="0099578E" w:rsidRDefault="00526D5E">
      <w:pPr>
        <w:pStyle w:val="Bodytext20"/>
        <w:shd w:val="clear" w:color="auto" w:fill="auto"/>
        <w:spacing w:before="0" w:line="619" w:lineRule="exact"/>
        <w:ind w:firstLine="900"/>
      </w:pPr>
      <w:r>
        <w:t xml:space="preserve">Injil masuk dalam wilayah Pitu Ulunna Salu pada sekitar tahun 1916 oleh sebuah Badan Zending dari Belanda yaitu Indische Kerk, yang </w:t>
      </w:r>
      <w:r>
        <w:t>melakukan pekabaran Injil di daerah Mamasa, sampai tahun 1928. Selama jangka waktu itu, usaha pekabaran Injil kurang membawa hasil karena selain sikap penduduk yang pada umumnya masih sangat tertutup, terhadap pekabaran Injil, juga sistem pekabaran Injil y</w:t>
      </w:r>
      <w:r>
        <w:t>ang dilakukan kurang mengena, karena Injil seolah-olah dipaksakan, misalnya kewajiban penduduk untuk dibaptis.</w:t>
      </w:r>
    </w:p>
    <w:p w:rsidR="0099578E" w:rsidRDefault="00526D5E">
      <w:pPr>
        <w:pStyle w:val="Bodytext20"/>
        <w:shd w:val="clear" w:color="auto" w:fill="auto"/>
        <w:spacing w:before="0" w:line="591" w:lineRule="exact"/>
        <w:ind w:firstLine="900"/>
      </w:pPr>
      <w:r>
        <w:t>Nanti pada tahun 1928, pekabaran Injil di Pitu Ulunna Salu diserahkan kepada Christelijke Gereformeerde Kerk (CGK), yaitu sebuah Badan Kerja Keci</w:t>
      </w:r>
      <w:r>
        <w:t xml:space="preserve">l di </w:t>
      </w:r>
      <w:r>
        <w:rPr>
          <w:lang w:val="en-US" w:eastAsia="en-US" w:bidi="en-US"/>
        </w:rPr>
        <w:t>Nederland.</w:t>
      </w:r>
      <w:r>
        <w:rPr>
          <w:vertAlign w:val="superscript"/>
          <w:lang w:val="en-US" w:eastAsia="en-US" w:bidi="en-US"/>
        </w:rPr>
        <w:footnoteReference w:id="31"/>
      </w:r>
      <w:r>
        <w:rPr>
          <w:lang w:val="en-US" w:eastAsia="en-US" w:bidi="en-US"/>
        </w:rPr>
        <w:t xml:space="preserve"> </w:t>
      </w:r>
      <w:r>
        <w:t xml:space="preserve">Barulah Injil mulai tersebar dengan baik karena pembaptisan tidak lagi dilakukan sesbagai suatu keharusan, tetapi hanya bagi mereka yang bersedia atas kesadaran sendiri, sehingga </w:t>
      </w:r>
      <w:r>
        <w:lastRenderedPageBreak/>
        <w:t>berangsur-angsur terjadi perkembangan, sampai GTM bediri sen</w:t>
      </w:r>
      <w:r>
        <w:t>diri menjadi satu synode pada tahun 1948.</w:t>
      </w:r>
    </w:p>
    <w:sectPr w:rsidR="0099578E">
      <w:pgSz w:w="11900" w:h="16840"/>
      <w:pgMar w:top="1872" w:right="1113" w:bottom="1172" w:left="9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5E" w:rsidRDefault="00526D5E">
      <w:r>
        <w:separator/>
      </w:r>
    </w:p>
  </w:endnote>
  <w:endnote w:type="continuationSeparator" w:id="0">
    <w:p w:rsidR="00526D5E" w:rsidRDefault="0052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8E" w:rsidRDefault="00526D5E">
    <w:pPr>
      <w:rPr>
        <w:sz w:val="2"/>
        <w:szCs w:val="2"/>
      </w:rPr>
    </w:pPr>
    <w:r>
      <w:pict>
        <v:shapetype id="_x0000_t202" coordsize="21600,21600" o:spt="202" path="m,l,21600r21600,l21600,xe">
          <v:stroke joinstyle="miter"/>
          <v:path gradientshapeok="t" o:connecttype="rect"/>
        </v:shapetype>
        <v:shape id="_x0000_s2051" type="#_x0000_t202" style="position:absolute;margin-left:289.1pt;margin-top:773.6pt;width:10.95pt;height:9.3pt;z-index:-188744063;mso-wrap-style:none;mso-wrap-distance-left:5pt;mso-wrap-distance-right:5pt;mso-position-horizontal-relative:page;mso-position-vertical-relative:page" wrapcoords="0 0" filled="f" stroked="f">
          <v:textbox style="mso-fit-shape-to-text:t" inset="0,0,0,0">
            <w:txbxContent>
              <w:p w:rsidR="0099578E" w:rsidRDefault="00526D5E">
                <w:pPr>
                  <w:pStyle w:val="Headerorfooter0"/>
                  <w:shd w:val="clear" w:color="auto" w:fill="auto"/>
                  <w:spacing w:line="240" w:lineRule="auto"/>
                </w:pPr>
                <w:r>
                  <w:fldChar w:fldCharType="begin"/>
                </w:r>
                <w:r>
                  <w:instrText xml:space="preserve"> PAGE \* MERGEFORMAT </w:instrText>
                </w:r>
                <w:r>
                  <w:fldChar w:fldCharType="separate"/>
                </w:r>
                <w:r w:rsidR="00DE456C" w:rsidRPr="00DE456C">
                  <w:rPr>
                    <w:rStyle w:val="Headerorfooter1"/>
                    <w:noProof/>
                    <w:lang w:val="id-ID" w:eastAsia="id-ID" w:bidi="id-ID"/>
                  </w:rPr>
                  <w:t>10</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8E" w:rsidRDefault="00995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5E" w:rsidRDefault="00526D5E">
      <w:r>
        <w:separator/>
      </w:r>
    </w:p>
  </w:footnote>
  <w:footnote w:type="continuationSeparator" w:id="0">
    <w:p w:rsidR="00526D5E" w:rsidRDefault="00526D5E">
      <w:r>
        <w:continuationSeparator/>
      </w:r>
    </w:p>
  </w:footnote>
  <w:footnote w:id="1">
    <w:p w:rsidR="0099578E" w:rsidRDefault="00526D5E">
      <w:pPr>
        <w:pStyle w:val="Footnote0"/>
        <w:shd w:val="clear" w:color="auto" w:fill="auto"/>
        <w:ind w:left="180" w:firstLine="0"/>
      </w:pPr>
      <w:r>
        <w:t>Wawancara dengan Geradus Genggong</w:t>
      </w:r>
    </w:p>
  </w:footnote>
  <w:footnote w:id="2">
    <w:p w:rsidR="0099578E" w:rsidRDefault="00526D5E">
      <w:pPr>
        <w:pStyle w:val="Footnote0"/>
        <w:shd w:val="clear" w:color="auto" w:fill="auto"/>
        <w:tabs>
          <w:tab w:val="left" w:pos="141"/>
        </w:tabs>
        <w:ind w:firstLine="0"/>
        <w:jc w:val="both"/>
      </w:pPr>
      <w:r>
        <w:rPr>
          <w:vertAlign w:val="superscript"/>
        </w:rPr>
        <w:footnoteRef/>
      </w:r>
      <w:r>
        <w:tab/>
        <w:t xml:space="preserve">W.J.S. Poerwadarminta, </w:t>
      </w:r>
      <w:r>
        <w:rPr>
          <w:rStyle w:val="FootnoteItalic"/>
          <w:b/>
          <w:bCs/>
        </w:rPr>
        <w:t>Kamus Umum</w:t>
      </w:r>
    </w:p>
  </w:footnote>
  <w:footnote w:id="3">
    <w:p w:rsidR="0099578E" w:rsidRDefault="00526D5E">
      <w:pPr>
        <w:pStyle w:val="Footnote0"/>
        <w:shd w:val="clear" w:color="auto" w:fill="auto"/>
        <w:tabs>
          <w:tab w:val="left" w:pos="141"/>
        </w:tabs>
        <w:ind w:left="160" w:right="5800" w:hanging="160"/>
      </w:pPr>
      <w:r>
        <w:rPr>
          <w:vertAlign w:val="superscript"/>
        </w:rPr>
        <w:footnoteRef/>
      </w:r>
      <w:r>
        <w:tab/>
        <w:t xml:space="preserve">Lothar </w:t>
      </w:r>
      <w:r>
        <w:rPr>
          <w:lang w:val="en-US" w:eastAsia="en-US" w:bidi="en-US"/>
        </w:rPr>
        <w:t xml:space="preserve">Schreiner, </w:t>
      </w:r>
      <w:r>
        <w:rPr>
          <w:rStyle w:val="FootnoteItalic"/>
          <w:b/>
          <w:bCs/>
        </w:rPr>
        <w:t xml:space="preserve">Adat dan Injil, Perjur </w:t>
      </w:r>
      <w:r>
        <w:t xml:space="preserve">Gunung Mulia, 1999), </w:t>
      </w:r>
      <w:r>
        <w:rPr>
          <w:lang w:val="en-US" w:eastAsia="en-US" w:bidi="en-US"/>
        </w:rPr>
        <w:t xml:space="preserve">him. </w:t>
      </w:r>
      <w:r>
        <w:t>6.</w:t>
      </w:r>
    </w:p>
  </w:footnote>
  <w:footnote w:id="4">
    <w:p w:rsidR="0099578E" w:rsidRDefault="00526D5E">
      <w:pPr>
        <w:pStyle w:val="Footnote20"/>
        <w:shd w:val="clear" w:color="auto" w:fill="auto"/>
        <w:tabs>
          <w:tab w:val="left" w:pos="163"/>
        </w:tabs>
        <w:ind w:left="180"/>
      </w:pPr>
      <w:r>
        <w:rPr>
          <w:vertAlign w:val="superscript"/>
        </w:rPr>
        <w:footnoteRef/>
      </w:r>
      <w:r>
        <w:tab/>
      </w:r>
      <w:r>
        <w:rPr>
          <w:lang w:val="en-US" w:eastAsia="en-US" w:bidi="en-US"/>
        </w:rPr>
        <w:t xml:space="preserve">Adam </w:t>
      </w:r>
      <w:r>
        <w:t xml:space="preserve">Kuper </w:t>
      </w:r>
      <w:r>
        <w:rPr>
          <w:lang w:val="en-US" w:eastAsia="en-US" w:bidi="en-US"/>
        </w:rPr>
        <w:t xml:space="preserve">dan Jessica </w:t>
      </w:r>
      <w:r>
        <w:t xml:space="preserve">Kuper, </w:t>
      </w:r>
      <w:r>
        <w:rPr>
          <w:rStyle w:val="Footnote2Italic"/>
        </w:rPr>
        <w:t>Ensiklopedi Ilmu-Ilmu Sosial</w:t>
      </w:r>
      <w:r>
        <w:t xml:space="preserve"> (Jakarta: PT. Raja Grafindo Persada), </w:t>
      </w:r>
      <w:r>
        <w:rPr>
          <w:lang w:val="en-US" w:eastAsia="en-US" w:bidi="en-US"/>
        </w:rPr>
        <w:t xml:space="preserve">him. </w:t>
      </w:r>
      <w:r>
        <w:t>199.</w:t>
      </w:r>
    </w:p>
  </w:footnote>
  <w:footnote w:id="5">
    <w:p w:rsidR="0099578E" w:rsidRDefault="00526D5E">
      <w:pPr>
        <w:pStyle w:val="Footnote20"/>
        <w:shd w:val="clear" w:color="auto" w:fill="auto"/>
        <w:tabs>
          <w:tab w:val="left" w:pos="152"/>
        </w:tabs>
        <w:spacing w:line="260" w:lineRule="exact"/>
        <w:ind w:firstLine="0"/>
        <w:jc w:val="both"/>
      </w:pPr>
      <w:r>
        <w:rPr>
          <w:vertAlign w:val="superscript"/>
        </w:rPr>
        <w:footnoteRef/>
      </w:r>
      <w:r>
        <w:tab/>
        <w:t xml:space="preserve">Ensiklopedi Indonesia 1, </w:t>
      </w:r>
      <w:r>
        <w:rPr>
          <w:rStyle w:val="Footnote2Italic"/>
        </w:rPr>
        <w:t>Ikiiar Baru,</w:t>
      </w:r>
      <w:r>
        <w:t xml:space="preserve"> </w:t>
      </w:r>
      <w:r>
        <w:rPr>
          <w:lang w:val="en-US" w:eastAsia="en-US" w:bidi="en-US"/>
        </w:rPr>
        <w:t xml:space="preserve">Van </w:t>
      </w:r>
      <w:r>
        <w:t xml:space="preserve">Hoeve (Jakarta, 1980), </w:t>
      </w:r>
      <w:r>
        <w:rPr>
          <w:lang w:val="en-US" w:eastAsia="en-US" w:bidi="en-US"/>
        </w:rPr>
        <w:t xml:space="preserve">him. </w:t>
      </w:r>
      <w:r>
        <w:t>531.</w:t>
      </w:r>
    </w:p>
  </w:footnote>
  <w:footnote w:id="6">
    <w:p w:rsidR="0099578E" w:rsidRDefault="00526D5E">
      <w:pPr>
        <w:pStyle w:val="Footnote0"/>
        <w:shd w:val="clear" w:color="auto" w:fill="auto"/>
        <w:tabs>
          <w:tab w:val="left" w:pos="135"/>
        </w:tabs>
        <w:ind w:firstLine="0"/>
        <w:jc w:val="both"/>
      </w:pPr>
      <w:r>
        <w:rPr>
          <w:rStyle w:val="FootnoteItalic"/>
          <w:b/>
          <w:bCs/>
          <w:vertAlign w:val="superscript"/>
        </w:rPr>
        <w:footnoteRef/>
      </w:r>
      <w:r>
        <w:tab/>
        <w:t>C.</w:t>
      </w:r>
      <w:r>
        <w:rPr>
          <w:lang w:val="en-US" w:eastAsia="en-US" w:bidi="en-US"/>
        </w:rPr>
        <w:t xml:space="preserve">a. Van </w:t>
      </w:r>
      <w:r>
        <w:t xml:space="preserve">Peursen, </w:t>
      </w:r>
      <w:r>
        <w:rPr>
          <w:rStyle w:val="FootnoteItalic"/>
          <w:b/>
          <w:bCs/>
        </w:rPr>
        <w:t>Strategi Kebudayaan</w:t>
      </w:r>
      <w:r>
        <w:t xml:space="preserve"> (Yogyakarta: Kanisius dan BPK Gunung Mulia), </w:t>
      </w:r>
      <w:r>
        <w:rPr>
          <w:lang w:val="en-US" w:eastAsia="en-US" w:bidi="en-US"/>
        </w:rPr>
        <w:t xml:space="preserve">him. </w:t>
      </w:r>
      <w:r>
        <w:t>16.</w:t>
      </w:r>
    </w:p>
  </w:footnote>
  <w:footnote w:id="7">
    <w:p w:rsidR="0099578E" w:rsidRDefault="00526D5E">
      <w:pPr>
        <w:pStyle w:val="Footnote0"/>
        <w:shd w:val="clear" w:color="auto" w:fill="auto"/>
        <w:tabs>
          <w:tab w:val="left" w:pos="135"/>
        </w:tabs>
        <w:ind w:firstLine="0"/>
        <w:jc w:val="both"/>
      </w:pPr>
      <w:r>
        <w:rPr>
          <w:vertAlign w:val="superscript"/>
        </w:rPr>
        <w:footnoteRef/>
      </w:r>
      <w:r>
        <w:tab/>
      </w:r>
      <w:r>
        <w:rPr>
          <w:lang w:val="en-US" w:eastAsia="en-US" w:bidi="en-US"/>
        </w:rPr>
        <w:t xml:space="preserve">Clifford </w:t>
      </w:r>
      <w:r>
        <w:t xml:space="preserve">Geertz, </w:t>
      </w:r>
      <w:r>
        <w:rPr>
          <w:rStyle w:val="FootnoteItalic"/>
          <w:b/>
          <w:bCs/>
        </w:rPr>
        <w:t xml:space="preserve">Tafsir </w:t>
      </w:r>
      <w:r>
        <w:rPr>
          <w:rStyle w:val="FootnoteItalic"/>
          <w:b/>
          <w:bCs/>
        </w:rPr>
        <w:t>Kebudayaan,</w:t>
      </w:r>
      <w:r>
        <w:t xml:space="preserve"> Cetakan ke-7 (Yogyakarta: Kanisius, 2004), </w:t>
      </w:r>
      <w:r>
        <w:rPr>
          <w:lang w:val="en-US" w:eastAsia="en-US" w:bidi="en-US"/>
        </w:rPr>
        <w:t xml:space="preserve">him. </w:t>
      </w:r>
      <w:r>
        <w:t>4.</w:t>
      </w:r>
    </w:p>
  </w:footnote>
  <w:footnote w:id="8">
    <w:p w:rsidR="0099578E" w:rsidRDefault="00526D5E">
      <w:pPr>
        <w:pStyle w:val="Footnote0"/>
        <w:shd w:val="clear" w:color="auto" w:fill="auto"/>
        <w:tabs>
          <w:tab w:val="left" w:pos="124"/>
        </w:tabs>
        <w:ind w:left="160" w:hanging="160"/>
      </w:pPr>
      <w:r>
        <w:rPr>
          <w:vertAlign w:val="superscript"/>
        </w:rPr>
        <w:footnoteRef/>
      </w:r>
      <w:r>
        <w:tab/>
        <w:t xml:space="preserve">J.W.M. Bekker SJ, </w:t>
      </w:r>
      <w:r>
        <w:rPr>
          <w:rStyle w:val="FootnoteItalic"/>
          <w:b/>
          <w:bCs/>
        </w:rPr>
        <w:t>Filsafat Kebudayaan, Sebuah Pengantar</w:t>
      </w:r>
      <w:r>
        <w:t xml:space="preserve"> (Jakarta: BPK Gunung Mulia dan Yogyakarta: Kanisius, 1984), </w:t>
      </w:r>
      <w:r>
        <w:rPr>
          <w:lang w:val="en-US" w:eastAsia="en-US" w:bidi="en-US"/>
        </w:rPr>
        <w:t xml:space="preserve">him. </w:t>
      </w:r>
      <w:r>
        <w:t>22.</w:t>
      </w:r>
    </w:p>
  </w:footnote>
  <w:footnote w:id="9">
    <w:p w:rsidR="0099578E" w:rsidRDefault="00526D5E">
      <w:pPr>
        <w:pStyle w:val="Footnote0"/>
        <w:shd w:val="clear" w:color="auto" w:fill="auto"/>
        <w:ind w:firstLine="0"/>
      </w:pPr>
      <w:r>
        <w:rPr>
          <w:rStyle w:val="FootnoteItalic"/>
          <w:b/>
          <w:bCs/>
          <w:vertAlign w:val="superscript"/>
        </w:rPr>
        <w:footnoteRef/>
      </w:r>
      <w:r>
        <w:rPr>
          <w:rStyle w:val="FootnoteItalic"/>
          <w:b/>
          <w:bCs/>
        </w:rPr>
        <w:t>Ibid,</w:t>
      </w:r>
      <w:r>
        <w:t xml:space="preserve"> hJm. 27.</w:t>
      </w:r>
    </w:p>
  </w:footnote>
  <w:footnote w:id="10">
    <w:p w:rsidR="0099578E" w:rsidRDefault="00526D5E">
      <w:pPr>
        <w:pStyle w:val="Footnote0"/>
        <w:shd w:val="clear" w:color="auto" w:fill="auto"/>
        <w:tabs>
          <w:tab w:val="left" w:pos="208"/>
        </w:tabs>
        <w:ind w:firstLine="0"/>
        <w:jc w:val="both"/>
      </w:pPr>
      <w:r>
        <w:rPr>
          <w:vertAlign w:val="superscript"/>
        </w:rPr>
        <w:footnoteRef/>
      </w:r>
      <w:r>
        <w:tab/>
        <w:t>Wawancara dengan Yunus Tinde, tanggal 12 Januari</w:t>
      </w:r>
      <w:r>
        <w:t xml:space="preserve"> 2007.</w:t>
      </w:r>
    </w:p>
  </w:footnote>
  <w:footnote w:id="11">
    <w:p w:rsidR="0099578E" w:rsidRDefault="00526D5E">
      <w:pPr>
        <w:pStyle w:val="Footnote0"/>
        <w:shd w:val="clear" w:color="auto" w:fill="auto"/>
        <w:tabs>
          <w:tab w:val="left" w:pos="180"/>
        </w:tabs>
        <w:ind w:firstLine="0"/>
        <w:jc w:val="both"/>
      </w:pPr>
      <w:r>
        <w:rPr>
          <w:vertAlign w:val="superscript"/>
        </w:rPr>
        <w:footnoteRef/>
      </w:r>
      <w:r>
        <w:tab/>
        <w:t xml:space="preserve">J. Tammu dan H. </w:t>
      </w:r>
      <w:r>
        <w:rPr>
          <w:lang w:val="en-US" w:eastAsia="en-US" w:bidi="en-US"/>
        </w:rPr>
        <w:t xml:space="preserve">Van </w:t>
      </w:r>
      <w:r>
        <w:t xml:space="preserve">der Veen, </w:t>
      </w:r>
      <w:r>
        <w:rPr>
          <w:rStyle w:val="FootnoteItalic"/>
          <w:b/>
          <w:bCs/>
        </w:rPr>
        <w:t>Kamus Toradja</w:t>
      </w:r>
      <w:r>
        <w:t xml:space="preserve"> - </w:t>
      </w:r>
      <w:r>
        <w:rPr>
          <w:rStyle w:val="FootnoteItalic"/>
          <w:b/>
          <w:bCs/>
        </w:rPr>
        <w:t>Indonesia</w:t>
      </w:r>
      <w:r>
        <w:t xml:space="preserve"> (Rantcpao: YPKT, 1972J, </w:t>
      </w:r>
      <w:r>
        <w:rPr>
          <w:lang w:val="en-US" w:eastAsia="en-US" w:bidi="en-US"/>
        </w:rPr>
        <w:t xml:space="preserve">him. </w:t>
      </w:r>
      <w:r>
        <w:t>31</w:t>
      </w:r>
    </w:p>
  </w:footnote>
  <w:footnote w:id="12">
    <w:p w:rsidR="0099578E" w:rsidRDefault="00526D5E">
      <w:pPr>
        <w:pStyle w:val="Footnote0"/>
        <w:shd w:val="clear" w:color="auto" w:fill="auto"/>
        <w:tabs>
          <w:tab w:val="left" w:pos="208"/>
        </w:tabs>
        <w:spacing w:line="210" w:lineRule="exact"/>
        <w:ind w:firstLine="0"/>
        <w:jc w:val="both"/>
      </w:pPr>
      <w:r>
        <w:rPr>
          <w:vertAlign w:val="superscript"/>
        </w:rPr>
        <w:footnoteRef/>
      </w:r>
      <w:r>
        <w:tab/>
        <w:t>Wawancara dengan Urias Daud, tanggal 9 Januari 2007.</w:t>
      </w:r>
    </w:p>
  </w:footnote>
  <w:footnote w:id="13">
    <w:p w:rsidR="0099578E" w:rsidRDefault="00526D5E">
      <w:pPr>
        <w:pStyle w:val="Footnote0"/>
        <w:shd w:val="clear" w:color="auto" w:fill="auto"/>
        <w:tabs>
          <w:tab w:val="left" w:pos="197"/>
        </w:tabs>
        <w:spacing w:line="210" w:lineRule="exact"/>
        <w:ind w:firstLine="0"/>
        <w:jc w:val="both"/>
      </w:pPr>
      <w:r>
        <w:rPr>
          <w:vertAlign w:val="superscript"/>
        </w:rPr>
        <w:footnoteRef/>
      </w:r>
      <w:r>
        <w:tab/>
        <w:t xml:space="preserve">J. Blommendaal, </w:t>
      </w:r>
      <w:r>
        <w:rPr>
          <w:rStyle w:val="FootnoteItalic"/>
          <w:b/>
          <w:bCs/>
        </w:rPr>
        <w:t>Pengantar Kepada Perjanjian Lama</w:t>
      </w:r>
      <w:r>
        <w:t xml:space="preserve"> (Jakarta: BPK Gunung Mulia, 1990), </w:t>
      </w:r>
      <w:r>
        <w:rPr>
          <w:lang w:val="en-US" w:eastAsia="en-US" w:bidi="en-US"/>
        </w:rPr>
        <w:t xml:space="preserve">him. </w:t>
      </w:r>
      <w:r>
        <w:t>54.</w:t>
      </w:r>
    </w:p>
  </w:footnote>
  <w:footnote w:id="14">
    <w:p w:rsidR="0099578E" w:rsidRDefault="00526D5E">
      <w:pPr>
        <w:pStyle w:val="Footnote30"/>
        <w:shd w:val="clear" w:color="auto" w:fill="auto"/>
        <w:tabs>
          <w:tab w:val="left" w:pos="197"/>
        </w:tabs>
        <w:spacing w:line="210" w:lineRule="exact"/>
      </w:pPr>
      <w:r>
        <w:rPr>
          <w:rStyle w:val="Footnote3NotItalic"/>
          <w:b/>
          <w:bCs/>
          <w:vertAlign w:val="superscript"/>
        </w:rPr>
        <w:footnoteRef/>
      </w:r>
      <w:r>
        <w:rPr>
          <w:rStyle w:val="Footnote3NotItalic"/>
          <w:b/>
          <w:bCs/>
        </w:rPr>
        <w:tab/>
      </w:r>
      <w:r>
        <w:t>Ensikopedi Alkitab Masa Kini, Jilid 1</w:t>
      </w:r>
      <w:r>
        <w:rPr>
          <w:rStyle w:val="Footnote3NotItalic"/>
          <w:b/>
          <w:bCs/>
        </w:rPr>
        <w:t xml:space="preserve"> (Jakarta: YKBK/OMF, 2000).</w:t>
      </w:r>
    </w:p>
  </w:footnote>
  <w:footnote w:id="15">
    <w:p w:rsidR="0099578E" w:rsidRDefault="00526D5E">
      <w:pPr>
        <w:pStyle w:val="Footnote0"/>
        <w:shd w:val="clear" w:color="auto" w:fill="auto"/>
        <w:tabs>
          <w:tab w:val="left" w:pos="197"/>
        </w:tabs>
        <w:spacing w:line="653" w:lineRule="exact"/>
        <w:ind w:firstLine="0"/>
        <w:jc w:val="both"/>
      </w:pPr>
      <w:r>
        <w:rPr>
          <w:vertAlign w:val="superscript"/>
        </w:rPr>
        <w:footnoteRef/>
      </w:r>
      <w:r>
        <w:tab/>
        <w:t xml:space="preserve">R. Soedarmo, </w:t>
      </w:r>
      <w:r>
        <w:rPr>
          <w:rStyle w:val="FootnoteItalic"/>
          <w:b/>
          <w:bCs/>
        </w:rPr>
        <w:t>Kamus Istilah Theologia</w:t>
      </w:r>
      <w:r>
        <w:t xml:space="preserve"> (Jakarta: BPK Gunung Mulia, 1988), </w:t>
      </w:r>
      <w:r>
        <w:rPr>
          <w:lang w:val="en-US" w:eastAsia="en-US" w:bidi="en-US"/>
        </w:rPr>
        <w:t xml:space="preserve">him. </w:t>
      </w:r>
      <w:r>
        <w:t>42.</w:t>
      </w:r>
    </w:p>
  </w:footnote>
  <w:footnote w:id="16">
    <w:p w:rsidR="0099578E" w:rsidRDefault="00526D5E">
      <w:pPr>
        <w:pStyle w:val="Footnote30"/>
        <w:shd w:val="clear" w:color="auto" w:fill="auto"/>
        <w:tabs>
          <w:tab w:val="left" w:pos="197"/>
        </w:tabs>
        <w:spacing w:line="253" w:lineRule="exact"/>
      </w:pPr>
      <w:r>
        <w:rPr>
          <w:rStyle w:val="Footnote3NotItalic"/>
          <w:b/>
          <w:bCs/>
          <w:vertAlign w:val="superscript"/>
        </w:rPr>
        <w:footnoteRef/>
      </w:r>
      <w:r>
        <w:rPr>
          <w:rStyle w:val="Footnote3NotItalic"/>
          <w:b/>
          <w:bCs/>
        </w:rPr>
        <w:tab/>
      </w:r>
      <w:r>
        <w:t>Ensiklopedi Alkitab Masa Kini</w:t>
      </w:r>
      <w:r>
        <w:rPr>
          <w:rStyle w:val="Footnote3NotItalic"/>
          <w:b/>
          <w:bCs/>
        </w:rPr>
        <w:t xml:space="preserve">, </w:t>
      </w:r>
      <w:r>
        <w:t>op.cit</w:t>
      </w:r>
      <w:r>
        <w:rPr>
          <w:rStyle w:val="Footnote3NotItalic"/>
          <w:b/>
          <w:bCs/>
        </w:rPr>
        <w:t xml:space="preserve">, </w:t>
      </w:r>
      <w:r>
        <w:rPr>
          <w:rStyle w:val="Footnote3NotItalic"/>
          <w:b/>
          <w:bCs/>
          <w:lang w:val="en-US" w:eastAsia="en-US" w:bidi="en-US"/>
        </w:rPr>
        <w:t xml:space="preserve">him. </w:t>
      </w:r>
      <w:r>
        <w:rPr>
          <w:rStyle w:val="Footnote3NotItalic"/>
          <w:b/>
          <w:bCs/>
        </w:rPr>
        <w:t>435</w:t>
      </w:r>
    </w:p>
  </w:footnote>
  <w:footnote w:id="17">
    <w:p w:rsidR="0099578E" w:rsidRDefault="00526D5E">
      <w:pPr>
        <w:pStyle w:val="Footnote0"/>
        <w:shd w:val="clear" w:color="auto" w:fill="auto"/>
        <w:tabs>
          <w:tab w:val="left" w:pos="203"/>
        </w:tabs>
        <w:spacing w:line="253" w:lineRule="exact"/>
        <w:ind w:firstLine="0"/>
        <w:jc w:val="both"/>
      </w:pPr>
      <w:r>
        <w:rPr>
          <w:vertAlign w:val="superscript"/>
        </w:rPr>
        <w:footnoteRef/>
      </w:r>
      <w:r>
        <w:tab/>
        <w:t xml:space="preserve">F. Ukur, </w:t>
      </w:r>
      <w:r>
        <w:rPr>
          <w:rStyle w:val="FootnoteItalic"/>
          <w:b/>
          <w:bCs/>
        </w:rPr>
        <w:t>Agama Dalam Dialog</w:t>
      </w:r>
      <w:r>
        <w:t xml:space="preserve"> (Jakarta : BPK Gunung Mulia, 1999), </w:t>
      </w:r>
      <w:r>
        <w:rPr>
          <w:lang w:val="en-US" w:eastAsia="en-US" w:bidi="en-US"/>
        </w:rPr>
        <w:t xml:space="preserve">him. </w:t>
      </w:r>
      <w:r>
        <w:t>426.</w:t>
      </w:r>
    </w:p>
  </w:footnote>
  <w:footnote w:id="18">
    <w:p w:rsidR="0099578E" w:rsidRDefault="00526D5E">
      <w:pPr>
        <w:pStyle w:val="Footnote30"/>
        <w:shd w:val="clear" w:color="auto" w:fill="auto"/>
        <w:tabs>
          <w:tab w:val="left" w:pos="203"/>
        </w:tabs>
        <w:spacing w:line="253" w:lineRule="exact"/>
      </w:pPr>
      <w:r>
        <w:rPr>
          <w:rStyle w:val="Footnote3NotItalic"/>
          <w:b/>
          <w:bCs/>
          <w:vertAlign w:val="superscript"/>
        </w:rPr>
        <w:footnoteRef/>
      </w:r>
      <w:r>
        <w:rPr>
          <w:rStyle w:val="Footnote3NotItalic"/>
          <w:b/>
          <w:bCs/>
        </w:rPr>
        <w:tab/>
      </w:r>
      <w:r>
        <w:t>Ensiklopedi Alktiab Masa Kini</w:t>
      </w:r>
      <w:r>
        <w:rPr>
          <w:rStyle w:val="Footnote3NotItalic"/>
          <w:b/>
          <w:bCs/>
        </w:rPr>
        <w:t xml:space="preserve">, </w:t>
      </w:r>
      <w:r>
        <w:t>op.cit</w:t>
      </w:r>
      <w:r>
        <w:rPr>
          <w:rStyle w:val="Footnote3NotItalic"/>
          <w:b/>
          <w:bCs/>
        </w:rPr>
        <w:t xml:space="preserve">, </w:t>
      </w:r>
      <w:r>
        <w:rPr>
          <w:rStyle w:val="Footnote3NotItalic"/>
          <w:b/>
          <w:bCs/>
          <w:lang w:val="en-US" w:eastAsia="en-US" w:bidi="en-US"/>
        </w:rPr>
        <w:t xml:space="preserve">him. </w:t>
      </w:r>
      <w:r>
        <w:rPr>
          <w:rStyle w:val="Footnote3NotItalic"/>
          <w:b/>
          <w:bCs/>
        </w:rPr>
        <w:t>435.</w:t>
      </w:r>
    </w:p>
  </w:footnote>
  <w:footnote w:id="19">
    <w:p w:rsidR="0099578E" w:rsidRDefault="00526D5E">
      <w:pPr>
        <w:pStyle w:val="Footnote0"/>
        <w:shd w:val="clear" w:color="auto" w:fill="auto"/>
        <w:tabs>
          <w:tab w:val="left" w:pos="186"/>
        </w:tabs>
        <w:spacing w:line="253" w:lineRule="exact"/>
        <w:ind w:left="240"/>
      </w:pPr>
      <w:r>
        <w:rPr>
          <w:vertAlign w:val="superscript"/>
        </w:rPr>
        <w:footnoteRef/>
      </w:r>
      <w:r>
        <w:tab/>
        <w:t xml:space="preserve">G.C. </w:t>
      </w:r>
      <w:r>
        <w:rPr>
          <w:lang w:val="en-US" w:eastAsia="en-US" w:bidi="en-US"/>
        </w:rPr>
        <w:t xml:space="preserve">Van </w:t>
      </w:r>
      <w:r>
        <w:t xml:space="preserve">Nitrik dan B.J. </w:t>
      </w:r>
      <w:r>
        <w:rPr>
          <w:lang w:val="en-US" w:eastAsia="en-US" w:bidi="en-US"/>
        </w:rPr>
        <w:t xml:space="preserve">Boland, </w:t>
      </w:r>
      <w:r>
        <w:rPr>
          <w:rStyle w:val="FootnoteItalic"/>
          <w:b/>
          <w:bCs/>
        </w:rPr>
        <w:t>Dogmatika Masa Kini</w:t>
      </w:r>
      <w:r>
        <w:t xml:space="preserve"> (Jakarta: BPK Gunung Mulia, 1995), </w:t>
      </w:r>
      <w:r>
        <w:rPr>
          <w:lang w:val="en-US" w:eastAsia="en-US" w:bidi="en-US"/>
        </w:rPr>
        <w:t xml:space="preserve">him. </w:t>
      </w:r>
      <w:r>
        <w:t>405.</w:t>
      </w:r>
    </w:p>
  </w:footnote>
  <w:footnote w:id="20">
    <w:p w:rsidR="0099578E" w:rsidRDefault="00526D5E">
      <w:pPr>
        <w:pStyle w:val="Footnote0"/>
        <w:shd w:val="clear" w:color="auto" w:fill="auto"/>
        <w:tabs>
          <w:tab w:val="left" w:pos="197"/>
        </w:tabs>
        <w:spacing w:line="253" w:lineRule="exact"/>
        <w:ind w:left="240"/>
      </w:pPr>
      <w:r>
        <w:rPr>
          <w:vertAlign w:val="superscript"/>
        </w:rPr>
        <w:footnoteRef/>
      </w:r>
      <w:r>
        <w:tab/>
        <w:t xml:space="preserve">Eka Darmaputera, </w:t>
      </w:r>
      <w:r>
        <w:rPr>
          <w:rStyle w:val="FootnoteItalic"/>
          <w:b/>
          <w:bCs/>
        </w:rPr>
        <w:t>Buku Penuntun Buletin Gereja dan Teolog</w:t>
      </w:r>
      <w:r>
        <w:rPr>
          <w:rStyle w:val="FootnoteItalic"/>
          <w:b/>
          <w:bCs/>
        </w:rPr>
        <w:t>i, Injil dan Kebudayaan</w:t>
      </w:r>
      <w:r>
        <w:t xml:space="preserve">, Redaksi Eka Darmaputera dkk, 1995, </w:t>
      </w:r>
      <w:r>
        <w:rPr>
          <w:lang w:val="en-US" w:eastAsia="en-US" w:bidi="en-US"/>
        </w:rPr>
        <w:t xml:space="preserve">him. </w:t>
      </w:r>
      <w:r>
        <w:t>353.</w:t>
      </w:r>
    </w:p>
  </w:footnote>
  <w:footnote w:id="21">
    <w:p w:rsidR="0099578E" w:rsidRDefault="00526D5E">
      <w:pPr>
        <w:pStyle w:val="Footnote0"/>
        <w:shd w:val="clear" w:color="auto" w:fill="auto"/>
        <w:tabs>
          <w:tab w:val="left" w:pos="203"/>
        </w:tabs>
        <w:spacing w:line="253" w:lineRule="exact"/>
        <w:ind w:left="220" w:hanging="220"/>
        <w:jc w:val="both"/>
      </w:pPr>
      <w:r>
        <w:rPr>
          <w:vertAlign w:val="superscript"/>
        </w:rPr>
        <w:footnoteRef/>
      </w:r>
      <w:r>
        <w:tab/>
        <w:t xml:space="preserve">Bnd. </w:t>
      </w:r>
      <w:r>
        <w:rPr>
          <w:lang w:val="en-US" w:eastAsia="en-US" w:bidi="en-US"/>
        </w:rPr>
        <w:t xml:space="preserve">Tony Lane, </w:t>
      </w:r>
      <w:r>
        <w:rPr>
          <w:rStyle w:val="FootnoteItalic"/>
          <w:b/>
          <w:bCs/>
        </w:rPr>
        <w:t>Runtut Pijar</w:t>
      </w:r>
      <w:r>
        <w:t xml:space="preserve">, </w:t>
      </w:r>
      <w:r>
        <w:rPr>
          <w:rStyle w:val="FootnoteItalic"/>
          <w:b/>
          <w:bCs/>
        </w:rPr>
        <w:t>Sejarah Pemikiran Kristiani</w:t>
      </w:r>
      <w:r>
        <w:t xml:space="preserve"> (Jakarta: BPK Gunung Mulia, 1996), </w:t>
      </w:r>
      <w:r>
        <w:rPr>
          <w:lang w:val="en-US" w:eastAsia="en-US" w:bidi="en-US"/>
        </w:rPr>
        <w:t xml:space="preserve">him. </w:t>
      </w:r>
      <w:r>
        <w:t xml:space="preserve">20: Gereja menghadapi penghambatan dan penganiayaan yang paling hebat pada masa </w:t>
      </w:r>
      <w:r>
        <w:t>pemerintahan Kaisar Decius dari tahun 249 sampai 251. Penganiayaan ini adalah penganiayaan yang rekoordinir dan meliputi seluruh kekaisaran. Decius merencanakan serangan terhadap gereja dari dua arah sekaligus. Pertama-tama, uskup-uskup yang terpenting har</w:t>
      </w:r>
      <w:r>
        <w:t>us dibunuh, sehingga uskup- uskup yang ada di Roma, Anthiokia, Yerusalem dan Kaisarea, semuanya mati syahit.</w:t>
      </w:r>
    </w:p>
    <w:p w:rsidR="0099578E" w:rsidRDefault="00526D5E">
      <w:pPr>
        <w:pStyle w:val="Footnote0"/>
        <w:shd w:val="clear" w:color="auto" w:fill="auto"/>
        <w:spacing w:line="253" w:lineRule="exact"/>
        <w:ind w:left="220" w:firstLine="0"/>
      </w:pPr>
      <w:r>
        <w:t>Fase kedua dari penganiayaan itu adalah usaha dari Kaisar Decius untuk memaksa orang-orang Kristen menyembah ilah-ilah.</w:t>
      </w:r>
    </w:p>
    <w:p w:rsidR="0099578E" w:rsidRDefault="00526D5E">
      <w:pPr>
        <w:pStyle w:val="Footnote0"/>
        <w:shd w:val="clear" w:color="auto" w:fill="auto"/>
        <w:spacing w:line="253" w:lineRule="exact"/>
        <w:ind w:left="220" w:firstLine="0"/>
      </w:pPr>
      <w:r>
        <w:t>Semuanya diharuskan mendapa</w:t>
      </w:r>
      <w:r>
        <w:t>tkan surat keterangan bahwa mereka telah menyembah ilah-ilah dengan membawa persembahan.</w:t>
      </w:r>
    </w:p>
    <w:p w:rsidR="0099578E" w:rsidRDefault="00526D5E">
      <w:pPr>
        <w:pStyle w:val="Footnote0"/>
        <w:shd w:val="clear" w:color="auto" w:fill="auto"/>
        <w:spacing w:line="253" w:lineRule="exact"/>
        <w:ind w:left="220" w:firstLine="0"/>
      </w:pPr>
      <w:r>
        <w:t xml:space="preserve">Kalau mereka tidak melakukannya maka mereka diancam hukuman mati. Banyak orang Kristen berbondong-bondong membawa persembahan kepada ilah-ilah dengan dipimpin oleh </w:t>
      </w:r>
      <w:r>
        <w:t>uskup mereka. Banyak pula yang berhasil mengelak dari perintah ini dengan cara menyuap petugas untuk mendapatkan surat keterangan tersebut tanpa membawa persembahan kepada ilah-ilah.</w:t>
      </w:r>
    </w:p>
    <w:p w:rsidR="0099578E" w:rsidRDefault="00526D5E">
      <w:pPr>
        <w:pStyle w:val="Footnote20"/>
        <w:shd w:val="clear" w:color="auto" w:fill="auto"/>
        <w:spacing w:line="259" w:lineRule="exact"/>
        <w:ind w:firstLine="0"/>
      </w:pPr>
      <w:r>
        <w:rPr>
          <w:rStyle w:val="Footnote2Italic"/>
          <w:vertAlign w:val="superscript"/>
        </w:rPr>
        <w:t>12</w:t>
      </w:r>
      <w:r>
        <w:rPr>
          <w:rStyle w:val="Footnote2Italic"/>
          <w:lang w:val="en-US" w:eastAsia="en-US" w:bidi="en-US"/>
        </w:rPr>
        <w:t>Ibid,</w:t>
      </w:r>
      <w:r>
        <w:rPr>
          <w:lang w:val="en-US" w:eastAsia="en-US" w:bidi="en-US"/>
        </w:rPr>
        <w:t xml:space="preserve"> him. </w:t>
      </w:r>
      <w:r>
        <w:t>21.</w:t>
      </w:r>
    </w:p>
  </w:footnote>
  <w:footnote w:id="22">
    <w:p w:rsidR="0099578E" w:rsidRDefault="00526D5E">
      <w:pPr>
        <w:pStyle w:val="Footnote20"/>
        <w:shd w:val="clear" w:color="auto" w:fill="auto"/>
        <w:spacing w:line="259" w:lineRule="exact"/>
        <w:ind w:firstLine="0"/>
      </w:pPr>
      <w:r>
        <w:rPr>
          <w:rStyle w:val="Footnote2Italic"/>
          <w:vertAlign w:val="superscript"/>
        </w:rPr>
        <w:footnoteRef/>
      </w:r>
      <w:r>
        <w:rPr>
          <w:rStyle w:val="Footnote2Italic"/>
          <w:lang w:val="en-US" w:eastAsia="en-US" w:bidi="en-US"/>
        </w:rPr>
        <w:t>Ibid,</w:t>
      </w:r>
      <w:r>
        <w:rPr>
          <w:lang w:val="en-US" w:eastAsia="en-US" w:bidi="en-US"/>
        </w:rPr>
        <w:t xml:space="preserve"> him. 20.</w:t>
      </w:r>
    </w:p>
  </w:footnote>
  <w:footnote w:id="23">
    <w:p w:rsidR="0099578E" w:rsidRDefault="00526D5E">
      <w:pPr>
        <w:pStyle w:val="Footnote20"/>
        <w:shd w:val="clear" w:color="auto" w:fill="auto"/>
        <w:spacing w:line="259" w:lineRule="exact"/>
        <w:ind w:firstLine="0"/>
      </w:pPr>
      <w:r>
        <w:rPr>
          <w:rStyle w:val="Footnote2Italic"/>
          <w:vertAlign w:val="superscript"/>
          <w:lang w:val="en-US" w:eastAsia="en-US" w:bidi="en-US"/>
        </w:rPr>
        <w:t>2A</w:t>
      </w:r>
      <w:r>
        <w:rPr>
          <w:rStyle w:val="Footnote2Italic"/>
          <w:lang w:val="en-US" w:eastAsia="en-US" w:bidi="en-US"/>
        </w:rPr>
        <w:t>Ibid,</w:t>
      </w:r>
      <w:r>
        <w:rPr>
          <w:lang w:val="en-US" w:eastAsia="en-US" w:bidi="en-US"/>
        </w:rPr>
        <w:t xml:space="preserve"> him. 21.</w:t>
      </w:r>
    </w:p>
  </w:footnote>
  <w:footnote w:id="24">
    <w:p w:rsidR="0099578E" w:rsidRDefault="00526D5E">
      <w:pPr>
        <w:pStyle w:val="Footnote0"/>
        <w:shd w:val="clear" w:color="auto" w:fill="auto"/>
        <w:spacing w:line="253" w:lineRule="exact"/>
        <w:ind w:firstLine="0"/>
      </w:pPr>
      <w:r>
        <w:rPr>
          <w:rStyle w:val="FootnoteItalic"/>
          <w:b/>
          <w:bCs/>
          <w:vertAlign w:val="superscript"/>
        </w:rPr>
        <w:footnoteRef/>
      </w:r>
      <w:r>
        <w:rPr>
          <w:rStyle w:val="FootnoteItalic"/>
          <w:b/>
          <w:bCs/>
        </w:rPr>
        <w:t>Ibid,</w:t>
      </w:r>
      <w:r>
        <w:t xml:space="preserve"> </w:t>
      </w:r>
      <w:r>
        <w:rPr>
          <w:lang w:val="en-US" w:eastAsia="en-US" w:bidi="en-US"/>
        </w:rPr>
        <w:t xml:space="preserve">him. </w:t>
      </w:r>
      <w:r>
        <w:t>22.</w:t>
      </w:r>
    </w:p>
  </w:footnote>
  <w:footnote w:id="25">
    <w:p w:rsidR="0099578E" w:rsidRDefault="00526D5E">
      <w:pPr>
        <w:pStyle w:val="Footnote0"/>
        <w:shd w:val="clear" w:color="auto" w:fill="auto"/>
        <w:spacing w:line="253" w:lineRule="exact"/>
        <w:ind w:firstLine="0"/>
      </w:pPr>
      <w:r>
        <w:rPr>
          <w:rStyle w:val="FootnoteItalic"/>
          <w:b/>
          <w:bCs/>
          <w:vertAlign w:val="superscript"/>
        </w:rPr>
        <w:footnoteRef/>
      </w:r>
      <w:r>
        <w:rPr>
          <w:rStyle w:val="FootnoteItalic"/>
          <w:b/>
          <w:bCs/>
          <w:lang w:val="en-US" w:eastAsia="en-US" w:bidi="en-US"/>
        </w:rPr>
        <w:t>Ibid,</w:t>
      </w:r>
      <w:r>
        <w:rPr>
          <w:lang w:val="en-US" w:eastAsia="en-US" w:bidi="en-US"/>
        </w:rPr>
        <w:t xml:space="preserve"> </w:t>
      </w:r>
      <w:r>
        <w:rPr>
          <w:lang w:val="en-US" w:eastAsia="en-US" w:bidi="en-US"/>
        </w:rPr>
        <w:t xml:space="preserve">him. </w:t>
      </w:r>
      <w:r>
        <w:t>21.</w:t>
      </w:r>
    </w:p>
  </w:footnote>
  <w:footnote w:id="26">
    <w:p w:rsidR="0099578E" w:rsidRDefault="00526D5E">
      <w:pPr>
        <w:pStyle w:val="Footnote30"/>
        <w:shd w:val="clear" w:color="auto" w:fill="auto"/>
        <w:spacing w:line="253" w:lineRule="exact"/>
        <w:jc w:val="left"/>
      </w:pPr>
      <w:r>
        <w:rPr>
          <w:vertAlign w:val="superscript"/>
        </w:rPr>
        <w:t>21</w:t>
      </w:r>
      <w:r>
        <w:t>lbid</w:t>
      </w:r>
    </w:p>
  </w:footnote>
  <w:footnote w:id="27">
    <w:p w:rsidR="0099578E" w:rsidRDefault="00526D5E">
      <w:pPr>
        <w:pStyle w:val="Footnote0"/>
        <w:shd w:val="clear" w:color="auto" w:fill="auto"/>
        <w:spacing w:line="253" w:lineRule="exact"/>
        <w:ind w:left="240"/>
        <w:jc w:val="both"/>
      </w:pPr>
      <w:r>
        <w:rPr>
          <w:vertAlign w:val="superscript"/>
        </w:rPr>
        <w:footnoteRef/>
      </w:r>
      <w:r>
        <w:t xml:space="preserve"> Bnd. Eka Darmaputera, </w:t>
      </w:r>
      <w:r>
        <w:rPr>
          <w:rStyle w:val="FootnoteItalic"/>
          <w:b/>
          <w:bCs/>
        </w:rPr>
        <w:t>Pergulatan Kehadiran Kristen di Indonesia, Teks-Teks Terpilih Eka Darmaputera</w:t>
      </w:r>
      <w:r>
        <w:t xml:space="preserve"> (Jakarta: BPK Gunung Mulia, 2005), </w:t>
      </w:r>
      <w:r>
        <w:rPr>
          <w:lang w:val="en-US" w:eastAsia="en-US" w:bidi="en-US"/>
        </w:rPr>
        <w:t xml:space="preserve">him. </w:t>
      </w:r>
      <w:r>
        <w:t xml:space="preserve">508: </w:t>
      </w:r>
      <w:r>
        <w:rPr>
          <w:lang w:val="en-US" w:eastAsia="en-US" w:bidi="en-US"/>
        </w:rPr>
        <w:t xml:space="preserve">Richard Niebuhr, </w:t>
      </w:r>
      <w:r>
        <w:t xml:space="preserve">misalnya dalam bukunya </w:t>
      </w:r>
      <w:r>
        <w:rPr>
          <w:rStyle w:val="FootnoteItalic"/>
          <w:b/>
          <w:bCs/>
          <w:lang w:val="en-US" w:eastAsia="en-US" w:bidi="en-US"/>
        </w:rPr>
        <w:t>Christ and Culture,</w:t>
      </w:r>
      <w:r>
        <w:rPr>
          <w:lang w:val="en-US" w:eastAsia="en-US" w:bidi="en-US"/>
        </w:rPr>
        <w:t xml:space="preserve"> </w:t>
      </w:r>
      <w:r>
        <w:t xml:space="preserve">memberikan ilustrasi: (tipologi) </w:t>
      </w:r>
      <w:r>
        <w:t>yang amat menarik. Ada beberapa sikap yang semuanya dapat dipertahankan secara teologis dan alktiabiah tentang bagaimana gereja menjalin relasinya dengan dunia (kebudayaan) sekitarnya yang disebutnya :</w:t>
      </w:r>
    </w:p>
    <w:p w:rsidR="0099578E" w:rsidRDefault="00526D5E">
      <w:pPr>
        <w:pStyle w:val="Footnote0"/>
        <w:numPr>
          <w:ilvl w:val="0"/>
          <w:numId w:val="1"/>
        </w:numPr>
        <w:shd w:val="clear" w:color="auto" w:fill="auto"/>
        <w:tabs>
          <w:tab w:val="left" w:pos="465"/>
        </w:tabs>
        <w:spacing w:line="253" w:lineRule="exact"/>
        <w:ind w:left="240" w:firstLine="0"/>
        <w:jc w:val="both"/>
      </w:pPr>
      <w:r>
        <w:t>Kristus versus kebudayaan</w:t>
      </w:r>
    </w:p>
    <w:p w:rsidR="0099578E" w:rsidRDefault="00526D5E">
      <w:pPr>
        <w:pStyle w:val="Footnote0"/>
        <w:numPr>
          <w:ilvl w:val="0"/>
          <w:numId w:val="1"/>
        </w:numPr>
        <w:shd w:val="clear" w:color="auto" w:fill="auto"/>
        <w:tabs>
          <w:tab w:val="left" w:pos="471"/>
        </w:tabs>
        <w:spacing w:line="253" w:lineRule="exact"/>
        <w:ind w:left="240" w:firstLine="0"/>
        <w:jc w:val="both"/>
      </w:pPr>
      <w:r>
        <w:t>Krsitus dari kebudayaan</w:t>
      </w:r>
    </w:p>
    <w:p w:rsidR="0099578E" w:rsidRDefault="00526D5E">
      <w:pPr>
        <w:pStyle w:val="Footnote0"/>
        <w:numPr>
          <w:ilvl w:val="0"/>
          <w:numId w:val="1"/>
        </w:numPr>
        <w:shd w:val="clear" w:color="auto" w:fill="auto"/>
        <w:tabs>
          <w:tab w:val="left" w:pos="459"/>
        </w:tabs>
        <w:spacing w:line="253" w:lineRule="exact"/>
        <w:ind w:left="240" w:firstLine="0"/>
        <w:jc w:val="both"/>
      </w:pPr>
      <w:r>
        <w:t>Kristus di atas kebudayaan</w:t>
      </w:r>
    </w:p>
    <w:p w:rsidR="0099578E" w:rsidRDefault="00526D5E">
      <w:pPr>
        <w:pStyle w:val="Footnote0"/>
        <w:numPr>
          <w:ilvl w:val="0"/>
          <w:numId w:val="1"/>
        </w:numPr>
        <w:shd w:val="clear" w:color="auto" w:fill="auto"/>
        <w:tabs>
          <w:tab w:val="left" w:pos="476"/>
        </w:tabs>
        <w:spacing w:line="253" w:lineRule="exact"/>
        <w:ind w:left="240" w:firstLine="0"/>
        <w:jc w:val="both"/>
      </w:pPr>
      <w:r>
        <w:t>Kristus dan kebudayaan dalam paradoks</w:t>
      </w:r>
    </w:p>
    <w:p w:rsidR="0099578E" w:rsidRDefault="00526D5E">
      <w:pPr>
        <w:pStyle w:val="Footnote0"/>
        <w:numPr>
          <w:ilvl w:val="0"/>
          <w:numId w:val="1"/>
        </w:numPr>
        <w:shd w:val="clear" w:color="auto" w:fill="auto"/>
        <w:tabs>
          <w:tab w:val="left" w:pos="465"/>
        </w:tabs>
        <w:spacing w:line="253" w:lineRule="exact"/>
        <w:ind w:left="240" w:firstLine="0"/>
        <w:jc w:val="both"/>
      </w:pPr>
      <w:r>
        <w:t>Kristus transformator kebudayaan</w:t>
      </w:r>
    </w:p>
  </w:footnote>
  <w:footnote w:id="28">
    <w:p w:rsidR="0099578E" w:rsidRDefault="00526D5E">
      <w:pPr>
        <w:pStyle w:val="Footnote0"/>
        <w:shd w:val="clear" w:color="auto" w:fill="auto"/>
        <w:spacing w:line="210" w:lineRule="exact"/>
        <w:ind w:firstLine="0"/>
      </w:pPr>
      <w:r>
        <w:rPr>
          <w:vertAlign w:val="superscript"/>
        </w:rPr>
        <w:footnoteRef/>
      </w:r>
      <w:r>
        <w:t xml:space="preserve">Singgih E.G., </w:t>
      </w:r>
      <w:r>
        <w:rPr>
          <w:rStyle w:val="FootnoteItalic"/>
          <w:b/>
          <w:bCs/>
        </w:rPr>
        <w:t>Dari Israel ke Asia</w:t>
      </w:r>
      <w:r>
        <w:t xml:space="preserve"> (Jakarta: BPK Gunung Mulia, 1982), </w:t>
      </w:r>
      <w:r>
        <w:rPr>
          <w:lang w:val="en-US" w:eastAsia="en-US" w:bidi="en-US"/>
        </w:rPr>
        <w:t xml:space="preserve">him. </w:t>
      </w:r>
      <w:r>
        <w:t>27.</w:t>
      </w:r>
    </w:p>
  </w:footnote>
  <w:footnote w:id="29">
    <w:p w:rsidR="0099578E" w:rsidRDefault="00526D5E">
      <w:pPr>
        <w:pStyle w:val="Footnote0"/>
        <w:shd w:val="clear" w:color="auto" w:fill="auto"/>
        <w:spacing w:line="210" w:lineRule="exact"/>
        <w:ind w:firstLine="0"/>
      </w:pPr>
      <w:r>
        <w:rPr>
          <w:rStyle w:val="FootnoteItalic"/>
          <w:b/>
          <w:bCs/>
          <w:vertAlign w:val="superscript"/>
        </w:rPr>
        <w:footnoteRef/>
      </w:r>
      <w:r>
        <w:rPr>
          <w:rStyle w:val="FootnoteItalic"/>
          <w:b/>
          <w:bCs/>
        </w:rPr>
        <w:t>lbid,</w:t>
      </w:r>
      <w:r>
        <w:t xml:space="preserve"> </w:t>
      </w:r>
      <w:r>
        <w:rPr>
          <w:lang w:val="en-US" w:eastAsia="en-US" w:bidi="en-US"/>
        </w:rPr>
        <w:t xml:space="preserve">him. </w:t>
      </w:r>
      <w:r>
        <w:t>24.</w:t>
      </w:r>
    </w:p>
  </w:footnote>
  <w:footnote w:id="30">
    <w:p w:rsidR="0099578E" w:rsidRDefault="00526D5E">
      <w:pPr>
        <w:pStyle w:val="Footnote0"/>
        <w:shd w:val="clear" w:color="auto" w:fill="auto"/>
        <w:spacing w:line="259" w:lineRule="exact"/>
        <w:ind w:firstLine="0"/>
      </w:pPr>
      <w:r>
        <w:rPr>
          <w:rStyle w:val="FootnoteItalic"/>
          <w:b/>
          <w:bCs/>
          <w:vertAlign w:val="superscript"/>
        </w:rPr>
        <w:t>3&gt;</w:t>
      </w:r>
      <w:r>
        <w:rPr>
          <w:rStyle w:val="FootnoteItalic"/>
          <w:b/>
          <w:bCs/>
        </w:rPr>
        <w:t>Ibid,</w:t>
      </w:r>
      <w:r>
        <w:t xml:space="preserve"> </w:t>
      </w:r>
      <w:r>
        <w:rPr>
          <w:lang w:val="en-US" w:eastAsia="en-US" w:bidi="en-US"/>
        </w:rPr>
        <w:t xml:space="preserve">him. </w:t>
      </w:r>
      <w:r>
        <w:t>19.</w:t>
      </w:r>
    </w:p>
  </w:footnote>
  <w:footnote w:id="31">
    <w:p w:rsidR="0099578E" w:rsidRDefault="00526D5E">
      <w:pPr>
        <w:pStyle w:val="Footnote0"/>
        <w:shd w:val="clear" w:color="auto" w:fill="auto"/>
        <w:spacing w:line="259" w:lineRule="exact"/>
        <w:ind w:left="240"/>
      </w:pPr>
      <w:r>
        <w:rPr>
          <w:vertAlign w:val="superscript"/>
        </w:rPr>
        <w:footnoteRef/>
      </w:r>
      <w:r>
        <w:t xml:space="preserve"> </w:t>
      </w:r>
      <w:r>
        <w:rPr>
          <w:lang w:val="en-US" w:eastAsia="en-US" w:bidi="en-US"/>
        </w:rPr>
        <w:t xml:space="preserve">Thomas Van </w:t>
      </w:r>
      <w:r>
        <w:t xml:space="preserve">den </w:t>
      </w:r>
      <w:r>
        <w:rPr>
          <w:lang w:val="en-US" w:eastAsia="en-US" w:bidi="en-US"/>
        </w:rPr>
        <w:t xml:space="preserve">End, </w:t>
      </w:r>
      <w:r>
        <w:rPr>
          <w:rStyle w:val="FootnoteItalic"/>
          <w:b/>
          <w:bCs/>
        </w:rPr>
        <w:t>Harta Dalam Bejana, Seja</w:t>
      </w:r>
      <w:r>
        <w:rPr>
          <w:rStyle w:val="FootnoteItalic"/>
          <w:b/>
          <w:bCs/>
        </w:rPr>
        <w:t>rah Ringkas</w:t>
      </w:r>
      <w:r>
        <w:t xml:space="preserve"> (Jakarta. BPK Gunung Mulia, 1991), </w:t>
      </w:r>
      <w:r>
        <w:rPr>
          <w:lang w:val="en-US" w:eastAsia="en-US" w:bidi="en-US"/>
        </w:rPr>
        <w:t xml:space="preserve">him. </w:t>
      </w:r>
      <w:r>
        <w:t>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8E" w:rsidRDefault="00526D5E">
    <w:pPr>
      <w:rPr>
        <w:sz w:val="2"/>
        <w:szCs w:val="2"/>
      </w:rPr>
    </w:pPr>
    <w:r>
      <w:pict>
        <v:shapetype id="_x0000_t202" coordsize="21600,21600" o:spt="202" path="m,l,21600r21600,l21600,xe">
          <v:stroke joinstyle="miter"/>
          <v:path gradientshapeok="t" o:connecttype="rect"/>
        </v:shapetype>
        <v:shape id="_x0000_s2050" type="#_x0000_t202" style="position:absolute;margin-left:522.4pt;margin-top:58.4pt;width:10.4pt;height:9.3pt;z-index:-188744064;mso-wrap-style:none;mso-wrap-distance-left:5pt;mso-wrap-distance-right:5pt;mso-position-horizontal-relative:page;mso-position-vertical-relative:page" wrapcoords="0 0" filled="f" stroked="f">
          <v:textbox style="mso-fit-shape-to-text:t" inset="0,0,0,0">
            <w:txbxContent>
              <w:p w:rsidR="0099578E" w:rsidRDefault="00526D5E">
                <w:pPr>
                  <w:pStyle w:val="Headerorfooter0"/>
                  <w:shd w:val="clear" w:color="auto" w:fill="auto"/>
                  <w:spacing w:line="240" w:lineRule="auto"/>
                </w:pPr>
                <w:r>
                  <w:fldChar w:fldCharType="begin"/>
                </w:r>
                <w:r>
                  <w:instrText xml:space="preserve"> PAGE \* MERGEFORMAT </w:instrText>
                </w:r>
                <w:r>
                  <w:fldChar w:fldCharType="separate"/>
                </w:r>
                <w:r w:rsidR="00DE456C" w:rsidRPr="00DE456C">
                  <w:rPr>
                    <w:rStyle w:val="Headerorfooter1"/>
                    <w:noProof/>
                  </w:rPr>
                  <w:t>12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8E" w:rsidRDefault="00526D5E">
    <w:pPr>
      <w:rPr>
        <w:sz w:val="2"/>
        <w:szCs w:val="2"/>
      </w:rPr>
    </w:pPr>
    <w:r>
      <w:pict>
        <v:shapetype id="_x0000_t202" coordsize="21600,21600" o:spt="202" path="m,l,21600r21600,l21600,xe">
          <v:stroke joinstyle="miter"/>
          <v:path gradientshapeok="t" o:connecttype="rect"/>
        </v:shapetype>
        <v:shape id="_x0000_s2054" type="#_x0000_t202" style="position:absolute;margin-left:522.4pt;margin-top:58.4pt;width:10.4pt;height:9.3pt;z-index:-188744062;mso-wrap-style:none;mso-wrap-distance-left:5pt;mso-wrap-distance-right:5pt;mso-position-horizontal-relative:page;mso-position-vertical-relative:page" wrapcoords="0 0" filled="f" stroked="f">
          <v:textbox style="mso-fit-shape-to-text:t" inset="0,0,0,0">
            <w:txbxContent>
              <w:p w:rsidR="0099578E" w:rsidRDefault="00526D5E">
                <w:pPr>
                  <w:pStyle w:val="Headerorfooter0"/>
                  <w:shd w:val="clear" w:color="auto" w:fill="auto"/>
                  <w:spacing w:line="240" w:lineRule="auto"/>
                </w:pPr>
                <w:r>
                  <w:fldChar w:fldCharType="begin"/>
                </w:r>
                <w:r>
                  <w:instrText xml:space="preserve"> PAGE \* MERGEFORMAT </w:instrText>
                </w:r>
                <w:r>
                  <w:fldChar w:fldCharType="separate"/>
                </w:r>
                <w:r w:rsidR="00DE456C" w:rsidRPr="00DE456C">
                  <w:rPr>
                    <w:rStyle w:val="Headerorfooter1"/>
                    <w:noProof/>
                  </w:rPr>
                  <w:t>27</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8E" w:rsidRDefault="00526D5E">
    <w:pPr>
      <w:rPr>
        <w:sz w:val="2"/>
        <w:szCs w:val="2"/>
      </w:rPr>
    </w:pPr>
    <w:r>
      <w:pict>
        <v:shapetype id="_x0000_t202" coordsize="21600,21600" o:spt="202" path="m,l,21600r21600,l21600,xe">
          <v:stroke joinstyle="miter"/>
          <v:path gradientshapeok="t" o:connecttype="rect"/>
        </v:shapetype>
        <v:shape id="_x0000_s2055" type="#_x0000_t202" style="position:absolute;margin-left:568.55pt;margin-top:66.95pt;width:12.95pt;height:10.95pt;z-index:-188744061;mso-wrap-style:none;mso-wrap-distance-left:5pt;mso-wrap-distance-right:5pt;mso-position-horizontal-relative:page;mso-position-vertical-relative:page" wrapcoords="0 0" filled="f" stroked="f">
          <v:textbox style="mso-fit-shape-to-text:t" inset="0,0,0,0">
            <w:txbxContent>
              <w:p w:rsidR="0099578E" w:rsidRDefault="00526D5E">
                <w:pPr>
                  <w:pStyle w:val="Headerorfooter0"/>
                  <w:shd w:val="clear" w:color="auto" w:fill="auto"/>
                  <w:spacing w:line="240" w:lineRule="auto"/>
                </w:pPr>
                <w:r>
                  <w:fldChar w:fldCharType="begin"/>
                </w:r>
                <w:r>
                  <w:instrText xml:space="preserve"> PAGE \* MERGEFORMAT </w:instrText>
                </w:r>
                <w:r>
                  <w:fldChar w:fldCharType="separate"/>
                </w:r>
                <w:r w:rsidR="00DE456C" w:rsidRPr="00DE456C">
                  <w:rPr>
                    <w:rStyle w:val="Headerorfooter1"/>
                    <w:noProof/>
                  </w:rPr>
                  <w:t>13</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41624"/>
    <w:multiLevelType w:val="multilevel"/>
    <w:tmpl w:val="3BE66A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17168"/>
    <w:multiLevelType w:val="multilevel"/>
    <w:tmpl w:val="C05C2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119B2"/>
    <w:multiLevelType w:val="multilevel"/>
    <w:tmpl w:val="EB7EF8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AE67C4"/>
    <w:multiLevelType w:val="multilevel"/>
    <w:tmpl w:val="49F6D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5577EF"/>
    <w:multiLevelType w:val="multilevel"/>
    <w:tmpl w:val="9698F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022E3B"/>
    <w:multiLevelType w:val="multilevel"/>
    <w:tmpl w:val="7DF8F2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9578E"/>
    <w:rsid w:val="00526D5E"/>
    <w:rsid w:val="0099578E"/>
    <w:rsid w:val="00DE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EA151CF6-8069-45E5-8A82-2EFED7CE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6"/>
      <w:szCs w:val="26"/>
      <w:u w:val="none"/>
    </w:rPr>
  </w:style>
  <w:style w:type="character" w:customStyle="1" w:styleId="Footnote2Italic">
    <w:name w:val="Footnote (2) + Italic"/>
    <w:basedOn w:val="Footnote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iCs/>
      <w:smallCaps w:val="0"/>
      <w:strike w:val="0"/>
      <w:spacing w:val="0"/>
      <w:sz w:val="21"/>
      <w:szCs w:val="21"/>
      <w:u w:val="none"/>
    </w:rPr>
  </w:style>
  <w:style w:type="character" w:customStyle="1" w:styleId="Footnote3NotItalic">
    <w:name w:val="Footnote (3) + Not Italic"/>
    <w:basedOn w:val="Footnote3"/>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z w:val="21"/>
      <w:szCs w:val="21"/>
      <w:u w:val="none"/>
    </w:rPr>
  </w:style>
  <w:style w:type="character" w:customStyle="1" w:styleId="Bodytext5ItalicExact">
    <w:name w:val="Body text (5) + Italic Exact"/>
    <w:basedOn w:val="Bodytext5Exact"/>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pacing w:val="-20"/>
      <w:sz w:val="32"/>
      <w:szCs w:val="32"/>
      <w:u w:val="none"/>
    </w:rPr>
  </w:style>
  <w:style w:type="character" w:customStyle="1" w:styleId="Bodytext3">
    <w:name w:val="Body text (3)_"/>
    <w:basedOn w:val="DefaultParagraphFont"/>
    <w:link w:val="Bodytext30"/>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8"/>
      <w:szCs w:val="28"/>
      <w:u w:val="none"/>
    </w:rPr>
  </w:style>
  <w:style w:type="character" w:customStyle="1" w:styleId="Bodytext7Italic">
    <w:name w:val="Body text (7) + Italic"/>
    <w:aliases w:val="Spacing 0 pt"/>
    <w:basedOn w:val="Bodytext7"/>
    <w:rPr>
      <w:rFonts w:ascii="Times New Roman" w:eastAsia="Times New Roman" w:hAnsi="Times New Roman" w:cs="Times New Roman"/>
      <w:b/>
      <w:bCs/>
      <w:i/>
      <w:iCs/>
      <w:smallCaps w:val="0"/>
      <w:strike w:val="0"/>
      <w:color w:val="000000"/>
      <w:spacing w:val="-10"/>
      <w:w w:val="100"/>
      <w:position w:val="0"/>
      <w:sz w:val="28"/>
      <w:szCs w:val="28"/>
      <w:u w:val="none"/>
      <w:lang w:val="id-ID" w:eastAsia="id-ID" w:bidi="id-ID"/>
    </w:rPr>
  </w:style>
  <w:style w:type="character" w:customStyle="1" w:styleId="Bodytext8">
    <w:name w:val="Body text (8)_"/>
    <w:basedOn w:val="DefaultParagraphFont"/>
    <w:link w:val="Bodytext80"/>
    <w:rPr>
      <w:rFonts w:ascii="Cambria" w:eastAsia="Cambria" w:hAnsi="Cambria" w:cs="Cambria"/>
      <w:b w:val="0"/>
      <w:bCs w:val="0"/>
      <w:i w:val="0"/>
      <w:iCs w:val="0"/>
      <w:smallCaps w:val="0"/>
      <w:strike w:val="0"/>
      <w:spacing w:val="-10"/>
      <w:sz w:val="10"/>
      <w:szCs w:val="1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9">
    <w:name w:val="Body text (9)_"/>
    <w:basedOn w:val="DefaultParagraphFont"/>
    <w:link w:val="Bodytext90"/>
    <w:rPr>
      <w:rFonts w:ascii="Trebuchet MS" w:eastAsia="Trebuchet MS" w:hAnsi="Trebuchet MS" w:cs="Trebuchet MS"/>
      <w:b w:val="0"/>
      <w:bCs w:val="0"/>
      <w:i w:val="0"/>
      <w:iCs w:val="0"/>
      <w:smallCaps w:val="0"/>
      <w:strike w:val="0"/>
      <w:sz w:val="16"/>
      <w:szCs w:val="16"/>
      <w:u w:val="none"/>
    </w:rPr>
  </w:style>
  <w:style w:type="paragraph" w:customStyle="1" w:styleId="Footnote0">
    <w:name w:val="Footnote"/>
    <w:basedOn w:val="Normal"/>
    <w:link w:val="Footnote"/>
    <w:pPr>
      <w:shd w:val="clear" w:color="auto" w:fill="FFFFFF"/>
      <w:spacing w:line="248" w:lineRule="exact"/>
      <w:ind w:hanging="240"/>
    </w:pPr>
    <w:rPr>
      <w:rFonts w:ascii="Times New Roman" w:eastAsia="Times New Roman" w:hAnsi="Times New Roman" w:cs="Times New Roman"/>
      <w:b/>
      <w:bCs/>
      <w:sz w:val="21"/>
      <w:szCs w:val="21"/>
    </w:rPr>
  </w:style>
  <w:style w:type="paragraph" w:customStyle="1" w:styleId="Footnote20">
    <w:name w:val="Footnote (2)"/>
    <w:basedOn w:val="Normal"/>
    <w:link w:val="Footnote2"/>
    <w:pPr>
      <w:shd w:val="clear" w:color="auto" w:fill="FFFFFF"/>
      <w:spacing w:line="309" w:lineRule="exact"/>
      <w:ind w:hanging="180"/>
    </w:pPr>
    <w:rPr>
      <w:rFonts w:ascii="Times New Roman" w:eastAsia="Times New Roman" w:hAnsi="Times New Roman" w:cs="Times New Roman"/>
      <w:sz w:val="26"/>
      <w:szCs w:val="26"/>
    </w:rPr>
  </w:style>
  <w:style w:type="paragraph" w:customStyle="1" w:styleId="Footnote30">
    <w:name w:val="Footnote (3)"/>
    <w:basedOn w:val="Normal"/>
    <w:link w:val="Footnote3"/>
    <w:pPr>
      <w:shd w:val="clear" w:color="auto" w:fill="FFFFFF"/>
      <w:spacing w:line="0" w:lineRule="atLeast"/>
      <w:jc w:val="both"/>
    </w:pPr>
    <w:rPr>
      <w:rFonts w:ascii="Times New Roman" w:eastAsia="Times New Roman" w:hAnsi="Times New Roman" w:cs="Times New Roman"/>
      <w:b/>
      <w:bCs/>
      <w:i/>
      <w:iCs/>
      <w:sz w:val="21"/>
      <w:szCs w:val="21"/>
    </w:rPr>
  </w:style>
  <w:style w:type="paragraph" w:customStyle="1" w:styleId="Bodytext5">
    <w:name w:val="Body text (5)"/>
    <w:basedOn w:val="Normal"/>
    <w:link w:val="Bodytext5Exact"/>
    <w:pPr>
      <w:shd w:val="clear" w:color="auto" w:fill="FFFFFF"/>
      <w:spacing w:line="253" w:lineRule="exact"/>
    </w:pPr>
    <w:rPr>
      <w:rFonts w:ascii="Times New Roman" w:eastAsia="Times New Roman" w:hAnsi="Times New Roman" w:cs="Times New Roman"/>
      <w:b/>
      <w:bCs/>
      <w:sz w:val="21"/>
      <w:szCs w:val="21"/>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b/>
      <w:bCs/>
      <w:spacing w:val="-20"/>
      <w:sz w:val="32"/>
      <w:szCs w:val="32"/>
    </w:rPr>
  </w:style>
  <w:style w:type="paragraph" w:customStyle="1" w:styleId="Bodytext30">
    <w:name w:val="Body text (3)"/>
    <w:basedOn w:val="Normal"/>
    <w:link w:val="Bodytext3"/>
    <w:pPr>
      <w:shd w:val="clear" w:color="auto" w:fill="FFFFFF"/>
      <w:spacing w:after="360" w:line="0" w:lineRule="atLeast"/>
      <w:jc w:val="center"/>
    </w:pPr>
    <w:rPr>
      <w:rFonts w:ascii="Franklin Gothic Heavy" w:eastAsia="Franklin Gothic Heavy" w:hAnsi="Franklin Gothic Heavy" w:cs="Franklin Gothic Heavy"/>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Heading10">
    <w:name w:val="Heading #1"/>
    <w:basedOn w:val="Normal"/>
    <w:link w:val="Heading1"/>
    <w:pPr>
      <w:shd w:val="clear" w:color="auto" w:fill="FFFFFF"/>
      <w:spacing w:before="360" w:after="960" w:line="0" w:lineRule="atLeast"/>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660" w:line="574" w:lineRule="exact"/>
      <w:ind w:hanging="8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240" w:line="754" w:lineRule="exact"/>
      <w:ind w:hanging="280"/>
      <w:jc w:val="both"/>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after="300" w:line="669" w:lineRule="exact"/>
      <w:jc w:val="both"/>
    </w:pPr>
    <w:rPr>
      <w:rFonts w:ascii="Times New Roman" w:eastAsia="Times New Roman" w:hAnsi="Times New Roman" w:cs="Times New Roman"/>
      <w:b/>
      <w:bCs/>
      <w:sz w:val="28"/>
      <w:szCs w:val="28"/>
    </w:rPr>
  </w:style>
  <w:style w:type="paragraph" w:customStyle="1" w:styleId="Bodytext80">
    <w:name w:val="Body text (8)"/>
    <w:basedOn w:val="Normal"/>
    <w:link w:val="Bodytext8"/>
    <w:pPr>
      <w:shd w:val="clear" w:color="auto" w:fill="FFFFFF"/>
      <w:spacing w:before="60" w:line="0" w:lineRule="atLeast"/>
    </w:pPr>
    <w:rPr>
      <w:rFonts w:ascii="Cambria" w:eastAsia="Cambria" w:hAnsi="Cambria" w:cs="Cambria"/>
      <w:spacing w:val="-10"/>
      <w:sz w:val="10"/>
      <w:szCs w:val="10"/>
    </w:rPr>
  </w:style>
  <w:style w:type="paragraph" w:customStyle="1" w:styleId="Bodytext90">
    <w:name w:val="Body text (9)"/>
    <w:basedOn w:val="Normal"/>
    <w:link w:val="Bodytext9"/>
    <w:pPr>
      <w:shd w:val="clear" w:color="auto" w:fill="FFFFFF"/>
      <w:spacing w:line="0" w:lineRule="atLeast"/>
    </w:pPr>
    <w:rPr>
      <w:rFonts w:ascii="Trebuchet MS" w:eastAsia="Trebuchet MS" w:hAnsi="Trebuchet MS" w:cs="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5264</Words>
  <Characters>30005</Characters>
  <Application>Microsoft Office Word</Application>
  <DocSecurity>0</DocSecurity>
  <Lines>250</Lines>
  <Paragraphs>70</Paragraphs>
  <ScaleCrop>false</ScaleCrop>
  <Company/>
  <LinksUpToDate>false</LinksUpToDate>
  <CharactersWithSpaces>35199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2024-04-26T06:21:00Z</dcterms:created>
  <dcterms:modified xsi:type="dcterms:W3CDTF">2024-04-26T06:22:00Z</dcterms:modified>
</cp:coreProperties>
</file>