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17" w:line="240" w:lineRule="exact"/>
        <w:ind w:left="384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345" w:line="240" w:lineRule="exact"/>
        <w:ind w:left="62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&amp; 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" w:line="240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Bagus,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Lorens. </w:t>
      </w:r>
      <w:r>
        <w:rPr>
          <w:rStyle w:val="CharStyle10"/>
        </w:rPr>
        <w:t>Kamus Filsafat.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Gramedia Pustaka Utama,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58" w:lineRule="exact"/>
        <w:ind w:left="620" w:right="22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Bahasa, Tim Penyusun Kamus Pusat. </w:t>
      </w:r>
      <w:r>
        <w:rPr>
          <w:rStyle w:val="CharStyle10"/>
        </w:rPr>
        <w:t>Kamus Besar Bahasa Indonesi.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3" w:line="240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Broning, W.R. </w:t>
      </w:r>
      <w:r>
        <w:rPr>
          <w:rStyle w:val="CharStyle10"/>
        </w:rPr>
        <w:t>Kamus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373" w:line="240" w:lineRule="exact"/>
        <w:ind w:left="62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 Karangan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3" w:line="240" w:lineRule="exact"/>
        <w:ind w:left="620" w:right="0" w:hanging="6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den. </w:t>
      </w:r>
      <w:r>
        <w:rPr>
          <w:rStyle w:val="CharStyle10"/>
        </w:rPr>
        <w:t>Harta Dalam Bejana.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1985.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620" w:right="220"/>
      </w:pPr>
      <w:r>
        <w:rPr>
          <w:rStyle w:val="CharStyle13"/>
          <w:i w:val="0"/>
          <w:iCs w:val="0"/>
        </w:rPr>
        <w:t xml:space="preserve">Endraswara, Suwardi.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Teori, Teknik Penelitian Kebudayaan: Ideologi, Epistimologi, Dan Aplikasi.</w:t>
      </w:r>
      <w:r>
        <w:rPr>
          <w:rStyle w:val="CharStyle13"/>
          <w:i w:val="0"/>
          <w:iCs w:val="0"/>
        </w:rPr>
        <w:t xml:space="preserve"> Tangerang: Pustaka Widyatama,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F.W.Dillistone. </w:t>
      </w:r>
      <w:r>
        <w:rPr>
          <w:rStyle w:val="CharStyle10"/>
        </w:rPr>
        <w:t>Daya Kekuatan 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8" w:line="240" w:lineRule="exact"/>
        <w:ind w:left="620" w:right="0" w:hanging="6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Geertz, Clifford. </w:t>
      </w:r>
      <w:r>
        <w:rPr>
          <w:rStyle w:val="CharStyle10"/>
        </w:rPr>
        <w:t>Kebudayaan Dan Agama.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75" w:lineRule="exact"/>
        <w:ind w:left="620" w:right="22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Herusatoto, Budi. </w:t>
      </w:r>
      <w:r>
        <w:rPr>
          <w:rStyle w:val="CharStyle10"/>
        </w:rPr>
        <w:t>Simbolis Dalam Budaya Jawa.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Hanindita Graha Wildia,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7" w:lineRule="exact"/>
        <w:ind w:left="620" w:right="22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Hidayat, Rahayu Suriati. </w:t>
      </w:r>
      <w:r>
        <w:rPr>
          <w:rStyle w:val="CharStyle10"/>
        </w:rPr>
        <w:t>Semiotiik Dan Bidang Ilmu.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Depok: Pusat Penelitian Kemasyarakatan dan Budaya Direktorat Riset dan Pengabdian Mas&gt;arakat Universitas Indonesia,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81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Kabanga’, Andarias. </w:t>
      </w:r>
      <w:r>
        <w:rPr>
          <w:rStyle w:val="CharStyle10"/>
        </w:rPr>
        <w:t>Manusia Mati Seutuhnya.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Media Persindo,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62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6"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0"/>
        </w:rPr>
        <w:t>Injil Dan Tongkonan.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Koenjaraningrat. </w:t>
      </w:r>
      <w:r>
        <w:rPr>
          <w:rStyle w:val="CharStyle17"/>
        </w:rPr>
        <w:t xml:space="preserve">Beberapa Pokok </w:t>
      </w:r>
      <w:r>
        <w:rPr>
          <w:rStyle w:val="CharStyle10"/>
        </w:rPr>
        <w:t>Antropologi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Jakarta. Dian Rakyat, 1985.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Martasudjita, E. </w:t>
      </w:r>
      <w:r>
        <w:rPr>
          <w:rStyle w:val="CharStyle10"/>
        </w:rPr>
        <w:t>Sakramen-Sakramen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</w:t>
      </w:r>
      <w:r>
        <w:rPr>
          <w:rStyle w:val="CharStyle18"/>
        </w:rPr>
        <w:t>j.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620" w:right="0" w:hanging="6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5" w:line="240" w:lineRule="exact"/>
        <w:ind w:left="6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rStyle w:val="CharStyle13"/>
          <w:lang w:val="en-US" w:eastAsia="en-US" w:bidi="en-US"/>
          <w:i w:val="0"/>
          <w:iCs w:val="0"/>
        </w:rPr>
        <w:t xml:space="preserve">Said, Abdul Asiz.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Simbolisme Unsur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Visual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Rumah Tradisional Toraja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Perubahan Aplikasinya Pada Desain Modern.</w:t>
      </w:r>
      <w:r>
        <w:rPr>
          <w:rStyle w:val="CharStyle13"/>
          <w:i w:val="0"/>
          <w:iCs w:val="0"/>
        </w:rPr>
        <w:t xml:space="preserve"> Yogyakarta: Ombak, 2004. Sugiyono.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Pendidikan.</w:t>
      </w:r>
      <w:r>
        <w:rPr>
          <w:rStyle w:val="CharStyle13"/>
          <w:i w:val="0"/>
          <w:iCs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Sule, Bema. “Nilai Kultural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Basse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Bagi Masyarakat Lembang Kayuosing, Kabupaten Tana Toraja.” </w:t>
      </w:r>
      <w:r>
        <w:rPr>
          <w:rStyle w:val="CharStyle10"/>
        </w:rPr>
        <w:t>Kairos Apostolos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1 (2018): 62.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Suwandi, Basrowi dan.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Suzeno, Franz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Magnis. </w:t>
      </w:r>
      <w:r>
        <w:rPr>
          <w:rStyle w:val="CharStyle10"/>
        </w:rPr>
        <w:t>Menalar Tuhan.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2011. Tangdilintin, L.T. </w:t>
      </w:r>
      <w:r>
        <w:rPr>
          <w:rStyle w:val="CharStyle10"/>
        </w:rPr>
        <w:t>Toraja Dan Kebudayaannya.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Yayasan Lepongan Bulan,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6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Tangirerung, Johana R. </w:t>
      </w:r>
      <w:r>
        <w:rPr>
          <w:rStyle w:val="CharStyle10"/>
        </w:rPr>
        <w:t>Berteologi Melalui Simbol-Simbol.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Tammu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der. </w:t>
      </w:r>
      <w:r>
        <w:rPr>
          <w:rStyle w:val="CharStyle10"/>
        </w:rPr>
        <w:t>Kamus Toraja-Indonesia.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Sulo, 2016. </w:t>
      </w:r>
      <w:r>
        <w:rPr>
          <w:rStyle w:val="CharStyle19"/>
        </w:rPr>
        <w:t>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Serupa.id (2018,10 Februari). Semiotika - Komunikasi tanpa Kata, Pengertian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Simbol dan Tanda-tanda. Diakses pada 21 April 2021, dari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36" w:line="240" w:lineRule="exact"/>
        <w:ind w:left="320" w:right="0" w:firstLine="0"/>
      </w:pPr>
      <w:r>
        <w:fldChar w:fldCharType="begin"/>
      </w:r>
      <w:r>
        <w:rPr>
          <w:rStyle w:val="CharStyle20"/>
        </w:rPr>
        <w:instrText> HYPERLINK "https://serupa.id/semiotika-pengertian-simbol-dan-tanda-tanda/" </w:instrText>
      </w:r>
      <w:r>
        <w:fldChar w:fldCharType="separate"/>
      </w:r>
      <w:r>
        <w:rPr>
          <w:rStyle w:val="Hyperlink"/>
        </w:rPr>
        <w:t>https://serupa.id/semiotika-pengertian-simbol-dan-tanda-tanda/</w:t>
      </w:r>
      <w:r>
        <w:fldChar w:fldCharType="end"/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Informan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Semuel Tangke Ne’ Katok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TominaaNe’ Sonda’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20160"/>
      <w:pgMar w:top="3125" w:left="1340" w:right="1996" w:bottom="295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2.85pt;margin-top:908.8pt;width:11.55pt;height:9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6pt;margin-top:74.05pt;width:10.7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Heading #1 + 9.5 pt,Bold"/>
    <w:basedOn w:val="CharStyle15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Body text (2) + 13 pt,Bold,Italic"/>
    <w:basedOn w:val="CharStyle9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8">
    <w:name w:val="Body text (2) + Small Caps"/>
    <w:basedOn w:val="CharStyle9"/>
    <w:rPr>
      <w:lang w:val="id-ID" w:eastAsia="id-ID" w:bidi="id-ID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2) +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9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360" w:line="0" w:lineRule="exact"/>
      <w:ind w:hanging="6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after="36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360" w:line="636" w:lineRule="exact"/>
      <w:ind w:hanging="6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68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before="360" w:line="61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