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04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827" w:left="0" w:right="0" w:bottom="17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54" w:line="260" w:lineRule="exact"/>
        <w:ind w:left="31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" w:line="26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Ensiklopedi, dan Kamus: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color w:val="000000"/>
          <w:position w:val="0"/>
        </w:rPr>
        <w:t>Alkitab, Kidung Jemaat &amp; Pelengkap Kidung Jemaat.</w:t>
      </w:r>
      <w:r>
        <w:rPr>
          <w:rStyle w:val="CharStyle9"/>
          <w:i w:val="0"/>
          <w:iCs w:val="0"/>
        </w:rPr>
        <w:t>Jakarta: Lembaga Alkitab Indonesia (LAl), 2015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Ensiklopedi Indonesiai. Iktiar Baru-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Hoeve. Jakarta,1980.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 Alkitab Masa Kini. Jakarta: Yayasan Komunikasi Bina Kas ih/OMF,1995.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2"/>
        </w:rPr>
        <w:t>Kamus Besar Bahasa Indonesia Edisi Keempat.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Prima Pena, </w:t>
      </w:r>
      <w:r>
        <w:rPr>
          <w:rStyle w:val="CharStyle12"/>
        </w:rPr>
        <w:t>Kamus Lengkap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Gita Media Press, </w:t>
      </w:r>
      <w:r>
        <w:rPr>
          <w:rStyle w:val="CharStyle13"/>
        </w:rPr>
        <w:t>2001</w:t>
      </w:r>
      <w:r>
        <w:rPr>
          <w:rStyle w:val="CharStyle14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Redaksi Kamus Besar Bahasa Indonesia Edisi Ketiga. Jakarta:Balai Pustaka, 2007.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78" w:lineRule="exact"/>
        <w:ind w:left="72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Buku-buku: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Tomalata, Y. </w:t>
      </w:r>
      <w:r>
        <w:rPr>
          <w:rStyle w:val="CharStyle12"/>
        </w:rPr>
        <w:t>Teologi Kontekstualisasi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Malang:Gandum Mas, 2007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Bevans, 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2"/>
        </w:rPr>
        <w:t>Model-model Teologi Kontekstual,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diterjemahkan kedalam Bahasa Indonesia, Maumere: Ledalero,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Bevans,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2"/>
        </w:rPr>
        <w:t>Teologi Dalam Perspektif Global.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Ledalero. 2013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Bevans,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Roger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ShroederTe/us </w:t>
      </w:r>
      <w:r>
        <w:rPr>
          <w:rStyle w:val="CharStyle12"/>
        </w:rPr>
        <w:t>Berubah-Tetap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Se/w.Maumere: Ledalero, 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78" w:lineRule="exact"/>
        <w:ind w:left="720" w:right="0"/>
      </w:pPr>
      <w:r>
        <w:rPr>
          <w:rStyle w:val="CharStyle9"/>
          <w:lang w:val="en-US" w:eastAsia="en-US" w:bidi="en-US"/>
          <w:i w:val="0"/>
          <w:iCs w:val="0"/>
        </w:rPr>
        <w:t xml:space="preserve">Ellis, </w:t>
      </w:r>
      <w:r>
        <w:rPr>
          <w:rStyle w:val="CharStyle9"/>
          <w:i w:val="0"/>
          <w:iCs w:val="0"/>
        </w:rPr>
        <w:t xml:space="preserve">D.W. </w:t>
      </w:r>
      <w:r>
        <w:rPr>
          <w:lang w:val="id-ID" w:eastAsia="id-ID" w:bidi="id-ID"/>
          <w:w w:val="100"/>
          <w:color w:val="000000"/>
          <w:position w:val="0"/>
        </w:rPr>
        <w:t>Metode Penginjilan: Istimewa Tepat Guna Bagi Penginjil Awam Prakti sdan Taktis.</w:t>
      </w:r>
      <w:r>
        <w:rPr>
          <w:rStyle w:val="CharStyle9"/>
          <w:i w:val="0"/>
          <w:iCs w:val="0"/>
        </w:rPr>
        <w:t xml:space="preserve"> Jakarta: Yayasan Komunikasi Bina Kasih/OMF,1999.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89" w:lineRule="exact"/>
        <w:ind w:left="0" w:right="0" w:firstLine="0"/>
      </w:pPr>
      <w:r>
        <w:rPr>
          <w:rStyle w:val="CharStyle9"/>
          <w:i w:val="0"/>
          <w:iCs w:val="0"/>
        </w:rPr>
        <w:t xml:space="preserve">G.P,Harianto. </w:t>
      </w:r>
      <w:r>
        <w:rPr>
          <w:lang w:val="id-ID" w:eastAsia="id-ID" w:bidi="id-ID"/>
          <w:w w:val="100"/>
          <w:color w:val="000000"/>
          <w:position w:val="0"/>
        </w:rPr>
        <w:t>Komunikasi Dalam Pemberitaan Injil.</w:t>
      </w:r>
      <w:r>
        <w:rPr>
          <w:rStyle w:val="CharStyle9"/>
          <w:i w:val="0"/>
          <w:iCs w:val="0"/>
        </w:rPr>
        <w:t xml:space="preserve"> Yogyakarta: Andi, 2012. Gunawan, SCJ, L. A.S. </w:t>
      </w:r>
      <w:r>
        <w:rPr>
          <w:lang w:val="id-ID" w:eastAsia="id-ID" w:bidi="id-ID"/>
          <w:w w:val="100"/>
          <w:color w:val="000000"/>
          <w:position w:val="0"/>
        </w:rPr>
        <w:t>Filsafat Nusantara: Sebuah Pemikiran tentang Indonesia.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9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Divisi Buku Digital,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Hesselgrave, 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Romen, </w:t>
      </w:r>
      <w:r>
        <w:rPr>
          <w:rStyle w:val="CharStyle12"/>
        </w:rPr>
        <w:t>Konlekstualisasi; Makna, Metode dan Model,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cetakan ke-VI, 2009 Kobong, Th, B. Plaisier, dkk. </w:t>
      </w:r>
      <w:r>
        <w:rPr>
          <w:rStyle w:val="CharStyle12"/>
        </w:rPr>
        <w:t>Aluk, Adat dan Kebudayaan Toraja dalam Perjumpaannya dengan Injil.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Pusbang-BPS Gereja Toraja, 1992.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/>
      </w:pPr>
      <w:r>
        <w:rPr>
          <w:rStyle w:val="CharStyle9"/>
          <w:i w:val="0"/>
          <w:iCs w:val="0"/>
        </w:rPr>
        <w:t xml:space="preserve">Kobong, </w:t>
      </w:r>
      <w:r>
        <w:rPr>
          <w:lang w:val="id-ID" w:eastAsia="id-ID" w:bidi="id-ID"/>
          <w:w w:val="100"/>
          <w:color w:val="000000"/>
          <w:position w:val="0"/>
        </w:rPr>
        <w:t xml:space="preserve">TAa.Injil dan Tongkonan: Inkarnasi, Kontektualisasi, Transformasi. </w:t>
      </w:r>
      <w:r>
        <w:rPr>
          <w:rStyle w:val="CharStyle9"/>
          <w:i w:val="0"/>
          <w:iCs w:val="0"/>
        </w:rPr>
        <w:t>Jakarta: BPK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Kuper,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 dan Jessica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Kuper.</w:t>
      </w:r>
      <w:r>
        <w:rPr>
          <w:rStyle w:val="CharStyle12"/>
        </w:rPr>
        <w:t>Ensiklopedi Ilmu-ilmu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Sos/o/. Jakarta: Raja Grafindo Persada Jakarta,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Moleong,Lexi J. </w:t>
      </w:r>
      <w:r>
        <w:rPr>
          <w:rStyle w:val="CharStyle12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Rodakarya,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Nasution, S </w:t>
      </w:r>
      <w:r>
        <w:rPr>
          <w:rStyle w:val="CharStyle12"/>
        </w:rPr>
        <w:t>Metode Research Penelitian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2000.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Pakpahan,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Binsar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Jonathan,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Peny. </w:t>
      </w:r>
      <w:r>
        <w:rPr>
          <w:rStyle w:val="CharStyle12"/>
        </w:rPr>
        <w:t>Teologi Kontekstual dan Kearifan Lokal 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2020 Palebangan,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2"/>
        </w:rPr>
        <w:t>Aluk, Adat, dan Adat-Istiadat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Toraja: SULO, 2007. 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2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 Peursen, C.a. </w:t>
      </w:r>
      <w:r>
        <w:rPr>
          <w:rStyle w:val="CharStyle12"/>
        </w:rPr>
        <w:t>van.Strategi Kebudayaan.Yogyakmta: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Kanisius,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Said,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Abdul </w:t>
      </w:r>
      <w:r>
        <w:rPr>
          <w:rStyle w:val="CharStyle12"/>
        </w:rPr>
        <w:t>Azis.Simbolisme Unsur Visual Rumah Tradisional.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rStyle w:val="CharStyle12"/>
        </w:rPr>
        <w:t>Ombak,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diterbitkan pertama kali dalam bahasa Indonesia, 2004.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/>
      </w:pPr>
      <w:r>
        <w:rPr>
          <w:rStyle w:val="CharStyle9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Kuantitatfif Kualitatif dan R&amp;D.</w:t>
      </w:r>
      <w:r>
        <w:rPr>
          <w:rStyle w:val="CharStyle9"/>
          <w:i w:val="0"/>
          <w:iCs w:val="0"/>
        </w:rPr>
        <w:t xml:space="preserve"> Bandung: Alfabeta,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2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 Syaodih,Nana. </w:t>
      </w:r>
      <w:r>
        <w:rPr>
          <w:rStyle w:val="CharStyle12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Rineka Cipta, 2008. Tangdilintin,L.T. </w:t>
      </w:r>
      <w:r>
        <w:rPr>
          <w:rStyle w:val="CharStyle12"/>
        </w:rPr>
        <w:t>Toraja dan Kebudayaannya.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Yayasan Lepongan Bulan, Cetakan IV, 1981.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0" w:right="7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Tomalata, Y. </w:t>
      </w:r>
      <w:r>
        <w:rPr>
          <w:rStyle w:val="CharStyle12"/>
        </w:rPr>
        <w:t>Teologi Kontekstuahsasi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Malang:Gandum Mas, 2007 Ukur, F. </w:t>
      </w:r>
      <w:r>
        <w:rPr>
          <w:rStyle w:val="CharStyle12"/>
        </w:rPr>
        <w:t>Tantang Djawab Suku Dajak.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1971.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Ukur, </w:t>
      </w:r>
      <w:r>
        <w:rPr>
          <w:rStyle w:val="CharStyle12"/>
        </w:rPr>
        <w:t>F.Agama Dalam Dialog.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 </w:t>
      </w:r>
      <w:r>
        <w:rPr>
          <w:rStyle w:val="CharStyle15"/>
        </w:rPr>
        <w:t>Jurnal&amp;Internet: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Winamo, Koes. "Memahami Etnografi Ala Spradley." </w:t>
      </w:r>
      <w:r>
        <w:rPr>
          <w:rStyle w:val="CharStyle12"/>
        </w:rPr>
        <w:t>Jurnal SfvlART (Studi Masyarakat, Religi, dan Tradisi)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1.2 (2015)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Wijaya, Hengki. “Analisis Data Kualitatif Model Spradley (Etnograti)” (2018), 6,7 scholar.google.co.id (diakses 31 Agustus 2021)</w:t>
      </w:r>
    </w:p>
    <w:sectPr>
      <w:type w:val="continuous"/>
      <w:pgSz w:w="12240" w:h="15840"/>
      <w:pgMar w:top="827" w:left="1889" w:right="2020" w:bottom="17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4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12 pt"/>
    <w:basedOn w:val="CharStyle11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Tahoma,9 pt"/>
    <w:basedOn w:val="CharStyle11"/>
    <w:rPr>
      <w:lang w:val="id-ID" w:eastAsia="id-ID" w:bidi="id-ID"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5">
    <w:name w:val="Body text (2) + 13 pt,Bold"/>
    <w:basedOn w:val="CharStyle11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  <w:ind w:hanging="72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00" w:after="300" w:line="0" w:lineRule="exact"/>
      <w:ind w:hanging="72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300" w:line="565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578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559" w:lineRule="exact"/>
      <w:ind w:hanging="68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