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98E" w:rsidRDefault="003E2FB5">
      <w:pPr>
        <w:pStyle w:val="Bodytext30"/>
        <w:shd w:val="clear" w:color="auto" w:fill="auto"/>
        <w:spacing w:after="529" w:line="260" w:lineRule="exact"/>
        <w:ind w:right="80"/>
      </w:pPr>
      <w:r>
        <w:t>BAB</w:t>
      </w:r>
      <w:r>
        <w:rPr>
          <w:lang w:val="en-US"/>
        </w:rPr>
        <w:t xml:space="preserve"> </w:t>
      </w:r>
      <w:bookmarkStart w:id="0" w:name="_GoBack"/>
      <w:bookmarkEnd w:id="0"/>
      <w:r>
        <w:t>I</w:t>
      </w:r>
    </w:p>
    <w:p w:rsidR="0085798E" w:rsidRDefault="003E2FB5">
      <w:pPr>
        <w:pStyle w:val="Bodytext30"/>
        <w:shd w:val="clear" w:color="auto" w:fill="auto"/>
        <w:spacing w:after="529" w:line="260" w:lineRule="exact"/>
        <w:ind w:right="80"/>
      </w:pPr>
      <w:r>
        <w:t>PENDAHULUAN</w:t>
      </w:r>
    </w:p>
    <w:p w:rsidR="0085798E" w:rsidRDefault="003E2FB5">
      <w:pPr>
        <w:pStyle w:val="Bodytext30"/>
        <w:numPr>
          <w:ilvl w:val="0"/>
          <w:numId w:val="1"/>
        </w:numPr>
        <w:shd w:val="clear" w:color="auto" w:fill="auto"/>
        <w:tabs>
          <w:tab w:val="left" w:pos="406"/>
        </w:tabs>
        <w:spacing w:after="267" w:line="260" w:lineRule="exact"/>
        <w:jc w:val="both"/>
      </w:pPr>
      <w:r>
        <w:t>Latar Belakang Masalah</w:t>
      </w:r>
    </w:p>
    <w:p w:rsidR="0085798E" w:rsidRDefault="003E2FB5">
      <w:pPr>
        <w:pStyle w:val="Bodytext20"/>
        <w:shd w:val="clear" w:color="auto" w:fill="auto"/>
        <w:spacing w:before="0"/>
        <w:ind w:firstLine="580"/>
      </w:pPr>
      <w:r>
        <w:t xml:space="preserve">Tabiat seseorang di pengaruhi oleh lingkungan sosialnya, baik itu oleh keluarga dan kebudayaannya. Setiap masyarakat mempunyai pandangan tentang tabiat macam apa patut dihargai serta pandangan tentang apa dan sikap </w:t>
      </w:r>
      <w:r>
        <w:t>siapa dapat dipercayai. Tabiat yang dimaksud adalah perangai, watak, budi pekerti atau perbuatan yang selalu dilakukan.</w:t>
      </w:r>
      <w:r>
        <w:rPr>
          <w:vertAlign w:val="superscript"/>
        </w:rPr>
        <w:footnoteReference w:id="1"/>
      </w:r>
      <w:r>
        <w:t xml:space="preserve"> Ada juga pandangan tentang bagaimana seseorang melakukan peranannya sebagai anak, orang tua, suami atau isteri, guru, :murid, pemimpin </w:t>
      </w:r>
      <w:r>
        <w:t>dan sebagian-sebagian besar dari pembentukan tabiat manusia rterjadi dalam proses mempelajari pandangan- pandangan ini. Pelajaran ini tidak tianya terjadi secara formal seperti di sekolah. Lebih penting ialah pelajaran ttersebut di dapat dari pengamatan te</w:t>
      </w:r>
      <w:r>
        <w:t xml:space="preserve">rhadap kelakuan orang-orang lain terutama i Ibu bapak. Larangan-larangan, teguran-teguran, pujian, dan petunjuk-petunjuk y/ang manusia terima terutama sebagai anak kecil sangat mempengaruhi tabiatnya. Lagi pula anak lebih belajar banyak dari cerita-cerita </w:t>
      </w:r>
      <w:r>
        <w:t>yang didengarkannya. Melalui proses belajar yang informal ini, pandangan-pandangan dari lingkungan s&lt;osial meresap ke dalam hati seseorang.</w:t>
      </w:r>
    </w:p>
    <w:p w:rsidR="0085798E" w:rsidRDefault="003E2FB5">
      <w:pPr>
        <w:pStyle w:val="Bodytext20"/>
        <w:shd w:val="clear" w:color="auto" w:fill="auto"/>
        <w:spacing w:before="0" w:after="0"/>
        <w:ind w:firstLine="1020"/>
      </w:pPr>
      <w:r>
        <w:t>Tidak dapat disangkal bahwa lingkungan sosial berperanan besar dalam pembentukan tabiat. Tabiat orang Amerika berbed</w:t>
      </w:r>
      <w:r>
        <w:t>a dengan tabiat orang ]</w:t>
      </w:r>
      <w:r>
        <w:rPr>
          <w:lang w:val="en-US" w:eastAsia="en-US" w:bidi="en-US"/>
        </w:rPr>
        <w:t xml:space="preserve">Indonesia. </w:t>
      </w:r>
      <w:r>
        <w:t>Tabiat orang Batak berbeda dengan tabiat orang Jawa. Manusia selalu</w:t>
      </w:r>
    </w:p>
    <w:p w:rsidR="0085798E" w:rsidRDefault="003E2FB5">
      <w:pPr>
        <w:pStyle w:val="Bodytext20"/>
        <w:shd w:val="clear" w:color="auto" w:fill="auto"/>
        <w:spacing w:before="0" w:after="0" w:line="571" w:lineRule="exact"/>
        <w:ind w:left="620" w:firstLine="0"/>
      </w:pPr>
      <w:r>
        <w:t xml:space="preserve">memberi tafsiran kita sendiri kepada norma-norma yang menjadi bagian pandangan </w:t>
      </w:r>
      <w:r>
        <w:lastRenderedPageBreak/>
        <w:t xml:space="preserve">seseorang . Juga orang dengan tabiat yang dewasa dapat menolak unsur-unsur </w:t>
      </w:r>
      <w:r>
        <w:t>dari pandangan lingkungannya, dia mampu menilai lingkungannya. Orang juga dapat meninjau kembali nilai-nilai dan norma-norma yang telah diterima dari lingkungannya.</w:t>
      </w:r>
    </w:p>
    <w:p w:rsidR="0085798E" w:rsidRDefault="003E2FB5">
      <w:pPr>
        <w:pStyle w:val="Bodytext20"/>
        <w:shd w:val="clear" w:color="auto" w:fill="auto"/>
        <w:spacing w:before="0" w:after="0" w:line="571" w:lineRule="exact"/>
        <w:ind w:left="620" w:firstLine="800"/>
      </w:pPr>
      <w:r>
        <w:t>Tabiat manusia dipengaruhi oleh lingkungan, tetapi tidak ditentukan oleh lingkungan. Kita m</w:t>
      </w:r>
      <w:r>
        <w:t>empunyai kebebasan dan tanggung jawab untuk menilai pengaruh-pengaruh sosial dan menolak atau menerimanya. Orang jarang akan mulai mengikuti pola kelakuan moral yang tidak disediakan oleh masyarakatnya. Tetapi kebanyakan orang dapat memilih antara beberapa</w:t>
      </w:r>
      <w:r>
        <w:t xml:space="preserve"> pola moral. Dewasa ini setiap pandangan moral dalam masyarakat dihadapkan dengan tantangan- tantangan dari sektor-sektor yang lain dalam masyarakat walaupun salah satu pandangan sering jauh lebih kuat dan populer dari pada yang lain. Manusia bertanggung j</w:t>
      </w:r>
      <w:r>
        <w:t>awab untuk memilih pola mana dan pandangan mana yang membimbing kehidupan kita.</w:t>
      </w:r>
    </w:p>
    <w:p w:rsidR="0085798E" w:rsidRDefault="003E2FB5">
      <w:pPr>
        <w:pStyle w:val="Bodytext20"/>
        <w:shd w:val="clear" w:color="auto" w:fill="auto"/>
        <w:spacing w:before="0" w:after="0" w:line="571" w:lineRule="exact"/>
        <w:ind w:left="620" w:firstLine="700"/>
      </w:pPr>
      <w:r>
        <w:t>Kitab Amsal adalah buku yang berisi ajaran dan nasihat tentang nilai kehidupan yaitu menyangkut cara hidup yang baik. Ajaran dan nasihat itu diungkapkan dalam bentuk petuah, pe</w:t>
      </w:r>
      <w:r>
        <w:t>ribahasa dan pepatah. Umumnya menyangkut persoalan-persoalan praktis dalam hidup sehari-hari. Selain tentang cara hidup yang baik, kitab ini juga menuntun orang untuk memiliki pikiran yang sehat dan tahu bersopan santun. Dari gaya bahasanya dan pesan-pesan</w:t>
      </w:r>
      <w:r>
        <w:t xml:space="preserve"> yang hendak disampaikan menggambarkan jika guru-guru Israel pada zaman dahulu memilki pengetahuan yang sangat dalam tentang nilai-nilai kehidupan yang menuntun setiap orang menjadi berhikmat dan bijaksana, Petuah-petuah itu menyangkut hubungan dalam kelua</w:t>
      </w:r>
      <w:r>
        <w:t xml:space="preserve">rga, urusan dagang, sopan santun dalam pergaulan/penguasaan diri. Juga kitab ini banyak mengajarkan tentang sifat-sifat yang baik seperti rendah hati, sabar, </w:t>
      </w:r>
      <w:r>
        <w:lastRenderedPageBreak/>
        <w:t>menghargai orang lemah dan tak berdaya dan kesetiakawanan. Inti kitab Amsal adalah hidup yang berk</w:t>
      </w:r>
      <w:r>
        <w:t>ualitas dan itu dimulai dengan takut akan Tuhan dan hormat (Amsal 1:7).</w:t>
      </w:r>
    </w:p>
    <w:p w:rsidR="0085798E" w:rsidRDefault="003E2FB5">
      <w:pPr>
        <w:pStyle w:val="Bodytext20"/>
        <w:shd w:val="clear" w:color="auto" w:fill="auto"/>
        <w:spacing w:before="0" w:after="0" w:line="566" w:lineRule="exact"/>
        <w:ind w:left="640" w:firstLine="800"/>
      </w:pPr>
      <w:r>
        <w:t xml:space="preserve">Dalam bacaan Amsal 10:1-29:27 mengenai petuah-petuah Salomo. Bacaan ini banyak menyoroti tentang etika hidup sehari-hari dan ajakan untuk memilki hikmat melalui pengenalan akan Allah. </w:t>
      </w:r>
      <w:r>
        <w:t xml:space="preserve">Amsal 14:2-7 mengandung nasihat agar setiap orang memiliki kejujuran (ayat 2) ditafsirkan bahwa kejujuran dan kejahatan pada dasarnya bersumber pada sikap orang terhadap Allah: satu sikap realisme, yang lain sikap tanpa realisme. Orang jujur berarti takut </w:t>
      </w:r>
      <w:r>
        <w:t>akan Tuhan.</w:t>
      </w:r>
    </w:p>
    <w:p w:rsidR="0085798E" w:rsidRDefault="003E2FB5">
      <w:pPr>
        <w:pStyle w:val="Bodytext20"/>
        <w:shd w:val="clear" w:color="auto" w:fill="auto"/>
        <w:spacing w:before="0" w:after="0" w:line="566" w:lineRule="exact"/>
        <w:ind w:left="640" w:firstLine="800"/>
        <w:sectPr w:rsidR="0085798E">
          <w:pgSz w:w="12240" w:h="15840"/>
          <w:pgMar w:top="1168" w:right="2396" w:bottom="689" w:left="501" w:header="0" w:footer="3" w:gutter="0"/>
          <w:cols w:space="720"/>
          <w:noEndnote/>
          <w:docGrid w:linePitch="360"/>
        </w:sectPr>
      </w:pPr>
      <w:r>
        <w:t>Pada dasarnya kejujuran dan kejahatan itu tergantung bagaimana sikap seseorang terhadap Allah. Jika takut akan Allah maka ia akan jujur dan sebaliknya jika tidak takut Allah maka ia akan menghina ciptaannya. Demikian halnya den</w:t>
      </w:r>
      <w:r>
        <w:t xml:space="preserve">gan pencemooh bagaimanapun pandainya, tidak akan mendapat hikmat meskipun ia mencarinya. Sebab kecongkakannya tidak memungkinkan adanya “takut akan Tuhan” (dalam Amsal 14 ayat 6 </w:t>
      </w:r>
      <w:r>
        <w:rPr>
          <w:lang w:val="en-US" w:eastAsia="en-US" w:bidi="en-US"/>
        </w:rPr>
        <w:t xml:space="preserve">band </w:t>
      </w:r>
      <w:r>
        <w:t>9:10)'ditafsirkan bahwa Pencemooh, bagaimanapun pandainya, tidak akan men</w:t>
      </w:r>
      <w:r>
        <w:t>dapat hikmat meskipun ia mencarinya, sebab kecongkakan-Nya tidak memungkinkan adanya’takut akan</w:t>
      </w:r>
    </w:p>
    <w:p w:rsidR="0085798E" w:rsidRDefault="003E2FB5">
      <w:pPr>
        <w:pStyle w:val="Bodytext20"/>
        <w:shd w:val="clear" w:color="auto" w:fill="auto"/>
        <w:spacing w:before="0" w:after="0" w:line="571" w:lineRule="exact"/>
        <w:ind w:left="580" w:firstLine="0"/>
      </w:pPr>
      <w:r>
        <w:lastRenderedPageBreak/>
        <w:t>Tuhan’.</w:t>
      </w:r>
      <w:r>
        <w:rPr>
          <w:vertAlign w:val="superscript"/>
        </w:rPr>
        <w:footnoteReference w:id="2"/>
      </w:r>
      <w:r>
        <w:t xml:space="preserve"> Oleh karena itu orang-orang bebal harus dijauhi sebab pada dirinya tidak ada pengetahuan.</w:t>
      </w:r>
      <w:r>
        <w:rPr>
          <w:vertAlign w:val="superscript"/>
        </w:rPr>
        <w:footnoteReference w:id="3"/>
      </w:r>
    </w:p>
    <w:p w:rsidR="0085798E" w:rsidRDefault="003E2FB5">
      <w:pPr>
        <w:pStyle w:val="Bodytext20"/>
        <w:shd w:val="clear" w:color="auto" w:fill="auto"/>
        <w:spacing w:before="0" w:after="0" w:line="571" w:lineRule="exact"/>
        <w:ind w:left="580" w:firstLine="800"/>
      </w:pPr>
      <w:r>
        <w:t xml:space="preserve">Demikian halnya dengan masalah yang penulis teliti mengenai </w:t>
      </w:r>
      <w:r>
        <w:t xml:space="preserve">dampak kehadiran </w:t>
      </w:r>
      <w:r>
        <w:rPr>
          <w:lang w:val="en-US" w:eastAsia="en-US" w:bidi="en-US"/>
        </w:rPr>
        <w:t xml:space="preserve">Cafe PAP, Cafe </w:t>
      </w:r>
      <w:r>
        <w:t xml:space="preserve">Buntuelo, </w:t>
      </w:r>
      <w:r>
        <w:rPr>
          <w:lang w:val="en-US" w:eastAsia="en-US" w:bidi="en-US"/>
        </w:rPr>
        <w:t xml:space="preserve">Cafe </w:t>
      </w:r>
      <w:r>
        <w:t xml:space="preserve">Kaltim, dan CafiS Pondok Ikan terhadap pertumbuhan iman umat kristen di Jemaat Bua Tallulolo. Dalam pengamatan Penulis dampak kehadiran </w:t>
      </w:r>
      <w:r>
        <w:rPr>
          <w:lang w:val="en-US" w:eastAsia="en-US" w:bidi="en-US"/>
        </w:rPr>
        <w:t xml:space="preserve">Cafe PAP, Cafe </w:t>
      </w:r>
      <w:r>
        <w:t xml:space="preserve">Buntuelo, </w:t>
      </w:r>
      <w:r>
        <w:rPr>
          <w:lang w:val="en-US" w:eastAsia="en-US" w:bidi="en-US"/>
        </w:rPr>
        <w:t xml:space="preserve">Cafe </w:t>
      </w:r>
      <w:r>
        <w:t xml:space="preserve">Kaltim, </w:t>
      </w:r>
      <w:proofErr w:type="spellStart"/>
      <w:r>
        <w:rPr>
          <w:lang w:val="en-US" w:eastAsia="en-US" w:bidi="en-US"/>
        </w:rPr>
        <w:t>dan</w:t>
      </w:r>
      <w:proofErr w:type="spellEnd"/>
      <w:r>
        <w:rPr>
          <w:lang w:val="en-US" w:eastAsia="en-US" w:bidi="en-US"/>
        </w:rPr>
        <w:t xml:space="preserve"> Cate </w:t>
      </w:r>
      <w:r>
        <w:t>Pondok Ikan tersebut antar</w:t>
      </w:r>
      <w:r>
        <w:t>a lain beberapa anak SMGT memakai baju-baju yang terlalu terbuka dan kebanyakan PPGT menjadi kurang aktif dalam mengikuti peribadahan khususnya dalam Ibadah PPGT, beberapa pemudi di jemaat Bua Tallulolo hamil di luar nikah, dan beberapa PWGT terjerumus dal</w:t>
      </w:r>
      <w:r>
        <w:t xml:space="preserve">am Cafe-Caf&lt;§ tersebut. Tetapi sangat disayangkan Jemaat Bua Tallulolo kurang mengerti, memahami dampak negatif </w:t>
      </w:r>
      <w:r>
        <w:rPr>
          <w:lang w:val="en-US" w:eastAsia="en-US" w:bidi="en-US"/>
        </w:rPr>
        <w:t xml:space="preserve">Cafe PAP, Cafe </w:t>
      </w:r>
      <w:r>
        <w:t xml:space="preserve">Buntuelo, Caf£ Kaltim, </w:t>
      </w:r>
      <w:proofErr w:type="spellStart"/>
      <w:r>
        <w:rPr>
          <w:lang w:val="en-US" w:eastAsia="en-US" w:bidi="en-US"/>
        </w:rPr>
        <w:t>dan</w:t>
      </w:r>
      <w:proofErr w:type="spellEnd"/>
      <w:r>
        <w:rPr>
          <w:lang w:val="en-US" w:eastAsia="en-US" w:bidi="en-US"/>
        </w:rPr>
        <w:t xml:space="preserve"> Cafe </w:t>
      </w:r>
      <w:r>
        <w:t>Pondok Ikan tersebut Warga jemaat pada umumnya biasa saja pertumbuhan iman kristen sepertinya men</w:t>
      </w:r>
      <w:r>
        <w:t>dapat tantangan namun tidak ada perhatian serius dari gereja. Banyak sekali masalah terkait dengan iman warga Jemaat yang terkait dengan masalah sosial yang ditimbulkan oleh kehadiran cafe-cafe ini. Hal ini membuat peneliti tertarik untuk meneliti dampak k</w:t>
      </w:r>
      <w:r>
        <w:t xml:space="preserve">ehadiran </w:t>
      </w:r>
      <w:r>
        <w:rPr>
          <w:lang w:val="en-US" w:eastAsia="en-US" w:bidi="en-US"/>
        </w:rPr>
        <w:t xml:space="preserve">Cafe PAP, Cafe </w:t>
      </w:r>
      <w:r>
        <w:t xml:space="preserve">Buntuelo, Caf6 Kaltim, </w:t>
      </w:r>
      <w:proofErr w:type="spellStart"/>
      <w:r>
        <w:rPr>
          <w:lang w:val="en-US" w:eastAsia="en-US" w:bidi="en-US"/>
        </w:rPr>
        <w:t>dan</w:t>
      </w:r>
      <w:proofErr w:type="spellEnd"/>
      <w:r>
        <w:rPr>
          <w:lang w:val="en-US" w:eastAsia="en-US" w:bidi="en-US"/>
        </w:rPr>
        <w:t xml:space="preserve"> Cafe </w:t>
      </w:r>
      <w:r>
        <w:t>Pondok Ikan terhadap iman warga jemaat di Gereja Toraja Jemaat Bua Tallulolo Klasis Kesu’ Tallulolo</w:t>
      </w:r>
    </w:p>
    <w:p w:rsidR="0085798E" w:rsidRDefault="003E2FB5">
      <w:pPr>
        <w:pStyle w:val="Bodytext30"/>
        <w:numPr>
          <w:ilvl w:val="0"/>
          <w:numId w:val="1"/>
        </w:numPr>
        <w:shd w:val="clear" w:color="auto" w:fill="auto"/>
        <w:tabs>
          <w:tab w:val="left" w:pos="953"/>
        </w:tabs>
        <w:spacing w:after="42" w:line="260" w:lineRule="exact"/>
        <w:ind w:left="580"/>
        <w:jc w:val="both"/>
      </w:pPr>
      <w:r>
        <w:t>Rumusan masalah</w:t>
      </w:r>
    </w:p>
    <w:p w:rsidR="0085798E" w:rsidRDefault="003E2FB5">
      <w:pPr>
        <w:pStyle w:val="Bodytext20"/>
        <w:shd w:val="clear" w:color="auto" w:fill="auto"/>
        <w:spacing w:before="0" w:after="536" w:line="566" w:lineRule="exact"/>
        <w:ind w:left="580" w:firstLine="780"/>
      </w:pPr>
      <w:r>
        <w:lastRenderedPageBreak/>
        <w:t>Berdasarkan latar belakang diatas maka penulis merumuskan satu pokok permasalahan ya</w:t>
      </w:r>
      <w:r>
        <w:t xml:space="preserve">itu bagaimana dampak kehadiran </w:t>
      </w:r>
      <w:r>
        <w:rPr>
          <w:lang w:val="en-US" w:eastAsia="en-US" w:bidi="en-US"/>
        </w:rPr>
        <w:t xml:space="preserve">cafe </w:t>
      </w:r>
      <w:r>
        <w:t>terhadap pertumbuhan iman warga Jemaat di Gereja Toraja, Jemaat Bua Tallulolo Klasis Kesu’ Tallulolo?</w:t>
      </w:r>
    </w:p>
    <w:p w:rsidR="0085798E" w:rsidRDefault="003E2FB5">
      <w:pPr>
        <w:pStyle w:val="Bodytext20"/>
        <w:numPr>
          <w:ilvl w:val="0"/>
          <w:numId w:val="1"/>
        </w:numPr>
        <w:shd w:val="clear" w:color="auto" w:fill="auto"/>
        <w:tabs>
          <w:tab w:val="left" w:pos="972"/>
        </w:tabs>
        <w:spacing w:before="0" w:after="0" w:line="571" w:lineRule="exact"/>
        <w:ind w:left="580" w:firstLine="0"/>
      </w:pPr>
      <w:r>
        <w:t>Tujuan Penulisan</w:t>
      </w:r>
    </w:p>
    <w:p w:rsidR="0085798E" w:rsidRDefault="003E2FB5">
      <w:pPr>
        <w:pStyle w:val="Bodytext20"/>
        <w:shd w:val="clear" w:color="auto" w:fill="auto"/>
        <w:spacing w:before="0" w:after="540" w:line="571" w:lineRule="exact"/>
        <w:ind w:left="580" w:firstLine="780"/>
      </w:pPr>
      <w:r>
        <w:t xml:space="preserve">Dari suatu masalah diatas penelitian ini adalah untuk menjelaskan dampak kehadiran </w:t>
      </w:r>
      <w:r>
        <w:rPr>
          <w:lang w:val="en-US" w:eastAsia="en-US" w:bidi="en-US"/>
        </w:rPr>
        <w:t xml:space="preserve">cafe </w:t>
      </w:r>
      <w:r>
        <w:t xml:space="preserve">terhadap </w:t>
      </w:r>
      <w:r>
        <w:t>pertumbuhan iman warga jemaat di Gereja Toraja Jemaat Bua Tallulolo Klasis Kesu’ Tallulolo.</w:t>
      </w:r>
    </w:p>
    <w:p w:rsidR="0085798E" w:rsidRDefault="003E2FB5">
      <w:pPr>
        <w:pStyle w:val="Bodytext20"/>
        <w:numPr>
          <w:ilvl w:val="0"/>
          <w:numId w:val="1"/>
        </w:numPr>
        <w:shd w:val="clear" w:color="auto" w:fill="auto"/>
        <w:tabs>
          <w:tab w:val="left" w:pos="977"/>
        </w:tabs>
        <w:spacing w:before="0" w:after="0" w:line="571" w:lineRule="exact"/>
        <w:ind w:left="580" w:firstLine="0"/>
      </w:pPr>
      <w:r>
        <w:t>Metode Penelitian</w:t>
      </w:r>
    </w:p>
    <w:p w:rsidR="0085798E" w:rsidRDefault="003E2FB5">
      <w:pPr>
        <w:pStyle w:val="Bodytext20"/>
        <w:shd w:val="clear" w:color="auto" w:fill="auto"/>
        <w:spacing w:before="0" w:after="0" w:line="571" w:lineRule="exact"/>
        <w:ind w:left="580" w:firstLine="780"/>
        <w:sectPr w:rsidR="0085798E">
          <w:pgSz w:w="12240" w:h="15840"/>
          <w:pgMar w:top="1555" w:right="2260" w:bottom="1286" w:left="682" w:header="0" w:footer="3" w:gutter="0"/>
          <w:cols w:space="720"/>
          <w:noEndnote/>
          <w:docGrid w:linePitch="360"/>
        </w:sectPr>
      </w:pPr>
      <w:r>
        <w:t>Salah satu sarana yang membantu penulis dalam menyelesaikan salah satu bentuk penelitian masalah di atas adalah melalui penelitia</w:t>
      </w:r>
      <w:r>
        <w:t>n lapangan yang dilaksanakan dengan teknik observasi dan wawancara, penulis juga menggunakan studi pustaka berupa buku-buku yang ada sangkut pautnya dengan pokok penelitian. Informasi juga dikumpulkan melalui buku-buku eletronik dan media sosial.</w:t>
      </w:r>
    </w:p>
    <w:p w:rsidR="0085798E" w:rsidRDefault="003E2FB5">
      <w:pPr>
        <w:pStyle w:val="Bodytext30"/>
        <w:shd w:val="clear" w:color="auto" w:fill="auto"/>
        <w:spacing w:after="231" w:line="260" w:lineRule="exact"/>
        <w:ind w:left="560"/>
        <w:jc w:val="left"/>
      </w:pPr>
      <w:r>
        <w:rPr>
          <w:lang w:val="en-US" w:eastAsia="en-US" w:bidi="en-US"/>
        </w:rPr>
        <w:lastRenderedPageBreak/>
        <w:t xml:space="preserve">£. </w:t>
      </w:r>
      <w:r>
        <w:t>Manfaa</w:t>
      </w:r>
      <w:r>
        <w:t>t Penelitian</w:t>
      </w:r>
    </w:p>
    <w:p w:rsidR="0085798E" w:rsidRDefault="003E2FB5">
      <w:pPr>
        <w:pStyle w:val="Bodytext20"/>
        <w:shd w:val="clear" w:color="auto" w:fill="auto"/>
        <w:spacing w:before="0" w:after="176" w:line="562" w:lineRule="exact"/>
        <w:ind w:left="560" w:firstLine="660"/>
        <w:jc w:val="left"/>
      </w:pPr>
      <w:r>
        <w:t>Setiap penelitian tentu di harapkan dapat membahwa manfaat bagi pembaca hasil penelitian tersebut</w:t>
      </w:r>
    </w:p>
    <w:p w:rsidR="0085798E" w:rsidRDefault="003E2FB5">
      <w:pPr>
        <w:pStyle w:val="Bodytext20"/>
        <w:shd w:val="clear" w:color="auto" w:fill="auto"/>
        <w:spacing w:before="0" w:after="176" w:line="566" w:lineRule="exact"/>
        <w:ind w:left="560" w:firstLine="520"/>
        <w:jc w:val="left"/>
      </w:pPr>
      <w:r>
        <w:t>Adapun manfaat yang penulis harapkan dapat tercapai dalam penelitian ini adalah:</w:t>
      </w:r>
    </w:p>
    <w:p w:rsidR="0085798E" w:rsidRDefault="003E2FB5">
      <w:pPr>
        <w:pStyle w:val="Bodytext20"/>
        <w:numPr>
          <w:ilvl w:val="0"/>
          <w:numId w:val="2"/>
        </w:numPr>
        <w:shd w:val="clear" w:color="auto" w:fill="auto"/>
        <w:tabs>
          <w:tab w:val="left" w:pos="1347"/>
        </w:tabs>
        <w:spacing w:before="0" w:after="0" w:line="571" w:lineRule="exact"/>
        <w:ind w:left="960" w:firstLine="0"/>
      </w:pPr>
      <w:r>
        <w:t>Secara Akademik</w:t>
      </w:r>
    </w:p>
    <w:p w:rsidR="0085798E" w:rsidRDefault="003E2FB5">
      <w:pPr>
        <w:pStyle w:val="Bodytext20"/>
        <w:numPr>
          <w:ilvl w:val="0"/>
          <w:numId w:val="2"/>
        </w:numPr>
        <w:shd w:val="clear" w:color="auto" w:fill="auto"/>
        <w:tabs>
          <w:tab w:val="left" w:pos="1347"/>
        </w:tabs>
        <w:spacing w:before="0" w:after="0" w:line="571" w:lineRule="exact"/>
        <w:ind w:left="960" w:firstLine="0"/>
      </w:pPr>
      <w:r>
        <w:t>Tulisan ini dapat memberikan sumbangsi pemikiran</w:t>
      </w:r>
      <w:r>
        <w:t xml:space="preserve"> dalam bidang</w:t>
      </w:r>
    </w:p>
    <w:p w:rsidR="0085798E" w:rsidRDefault="003E2FB5">
      <w:pPr>
        <w:pStyle w:val="Bodytext20"/>
        <w:shd w:val="clear" w:color="auto" w:fill="auto"/>
        <w:spacing w:before="0" w:after="0" w:line="571" w:lineRule="exact"/>
        <w:ind w:left="1720" w:hanging="380"/>
      </w:pPr>
      <w:r>
        <w:t>Teologi, secara khusus dalam mata kuliah Spritualitas Kristen, Pastoral</w:t>
      </w:r>
    </w:p>
    <w:p w:rsidR="0085798E" w:rsidRDefault="003E2FB5">
      <w:pPr>
        <w:pStyle w:val="Bodytext20"/>
        <w:shd w:val="clear" w:color="auto" w:fill="auto"/>
        <w:spacing w:before="0" w:after="0" w:line="571" w:lineRule="exact"/>
        <w:ind w:left="1720" w:hanging="380"/>
      </w:pPr>
      <w:r>
        <w:t>Konseling, dan Etika.</w:t>
      </w:r>
    </w:p>
    <w:p w:rsidR="0085798E" w:rsidRDefault="003E2FB5">
      <w:pPr>
        <w:pStyle w:val="Bodytext20"/>
        <w:numPr>
          <w:ilvl w:val="0"/>
          <w:numId w:val="2"/>
        </w:numPr>
        <w:shd w:val="clear" w:color="auto" w:fill="auto"/>
        <w:tabs>
          <w:tab w:val="left" w:pos="1347"/>
        </w:tabs>
        <w:spacing w:before="0" w:after="0" w:line="571" w:lineRule="exact"/>
        <w:ind w:left="960" w:firstLine="0"/>
      </w:pPr>
      <w:r>
        <w:t>Secara Praktis</w:t>
      </w:r>
    </w:p>
    <w:p w:rsidR="0085798E" w:rsidRDefault="003E2FB5">
      <w:pPr>
        <w:pStyle w:val="Bodytext20"/>
        <w:numPr>
          <w:ilvl w:val="0"/>
          <w:numId w:val="3"/>
        </w:numPr>
        <w:shd w:val="clear" w:color="auto" w:fill="auto"/>
        <w:tabs>
          <w:tab w:val="left" w:pos="1719"/>
        </w:tabs>
        <w:spacing w:before="0" w:after="0" w:line="571" w:lineRule="exact"/>
        <w:ind w:left="1720" w:hanging="380"/>
      </w:pPr>
      <w:r>
        <w:t xml:space="preserve">Tulisan ini diharapkan dapat bermanfaat bagi pelayayan Gereja toraja jemaat bua untuk memberikan perhatian kepada pelayan-pelayan </w:t>
      </w:r>
      <w:r>
        <w:rPr>
          <w:lang w:val="en-US" w:eastAsia="en-US" w:bidi="en-US"/>
        </w:rPr>
        <w:t>cafe</w:t>
      </w:r>
    </w:p>
    <w:p w:rsidR="0085798E" w:rsidRDefault="003E2FB5">
      <w:pPr>
        <w:pStyle w:val="Bodytext20"/>
        <w:numPr>
          <w:ilvl w:val="0"/>
          <w:numId w:val="3"/>
        </w:numPr>
        <w:shd w:val="clear" w:color="auto" w:fill="auto"/>
        <w:tabs>
          <w:tab w:val="left" w:pos="1719"/>
        </w:tabs>
        <w:spacing w:before="0" w:after="0" w:line="571" w:lineRule="exact"/>
        <w:ind w:left="1720" w:hanging="380"/>
      </w:pPr>
      <w:r>
        <w:t>Tulisan ini Dapat bermanfaat bagi pemerintah dan masyarakat sebagai salah satu informasi tentang masalah sosial menyangkut keberadaan caf6 di Bua Tallulolo</w:t>
      </w:r>
    </w:p>
    <w:p w:rsidR="0085798E" w:rsidRDefault="003E2FB5">
      <w:pPr>
        <w:pStyle w:val="Bodytext20"/>
        <w:numPr>
          <w:ilvl w:val="0"/>
          <w:numId w:val="3"/>
        </w:numPr>
        <w:shd w:val="clear" w:color="auto" w:fill="auto"/>
        <w:tabs>
          <w:tab w:val="left" w:pos="1719"/>
        </w:tabs>
        <w:spacing w:before="0" w:after="0" w:line="571" w:lineRule="exact"/>
        <w:ind w:left="1720" w:hanging="380"/>
        <w:sectPr w:rsidR="0085798E">
          <w:pgSz w:w="12240" w:h="15840"/>
          <w:pgMar w:top="1764" w:right="2248" w:bottom="1764" w:left="727" w:header="0" w:footer="3" w:gutter="0"/>
          <w:cols w:space="720"/>
          <w:noEndnote/>
          <w:docGrid w:linePitch="360"/>
        </w:sectPr>
      </w:pPr>
      <w:r>
        <w:t>Tulisan ini dapat bermanfaat bagi pelayan-pelayan Tuhan secara umum untuk meng</w:t>
      </w:r>
      <w:r>
        <w:t>etahui dampak dari Cafe-cafe bagi perkembangan iman umat, sehingga dapat mencari solusi untuk pendampingan.</w:t>
      </w:r>
    </w:p>
    <w:p w:rsidR="0085798E" w:rsidRDefault="003E2FB5">
      <w:pPr>
        <w:pStyle w:val="Bodytext30"/>
        <w:shd w:val="clear" w:color="auto" w:fill="auto"/>
        <w:spacing w:after="218" w:line="260" w:lineRule="exact"/>
        <w:ind w:left="560"/>
        <w:jc w:val="left"/>
      </w:pPr>
      <w:r>
        <w:lastRenderedPageBreak/>
        <w:t>F. Sistematika Penulisan</w:t>
      </w:r>
    </w:p>
    <w:p w:rsidR="0085798E" w:rsidRDefault="003E2FB5">
      <w:pPr>
        <w:pStyle w:val="Bodytext20"/>
        <w:shd w:val="clear" w:color="auto" w:fill="auto"/>
        <w:spacing w:before="0" w:line="571" w:lineRule="exact"/>
        <w:ind w:left="2420" w:hanging="1100"/>
      </w:pPr>
      <w:r>
        <w:t>BAB I : Pendahuluan dalam bab ini dijelaskan latar belakang, rumusan masalah, tujuan penelitian, metode penelitian, manfaat</w:t>
      </w:r>
      <w:r>
        <w:t xml:space="preserve"> penelitian dan sistematika penulisan.</w:t>
      </w:r>
    </w:p>
    <w:p w:rsidR="0085798E" w:rsidRDefault="003E2FB5">
      <w:pPr>
        <w:pStyle w:val="Bodytext20"/>
        <w:shd w:val="clear" w:color="auto" w:fill="auto"/>
        <w:spacing w:before="0" w:after="176" w:line="571" w:lineRule="exact"/>
        <w:ind w:left="2600"/>
      </w:pPr>
      <w:r>
        <w:t xml:space="preserve">BAB II : Tinjauan pustaka yang berisi Hakekat iman kristen, kehadiran </w:t>
      </w:r>
      <w:r>
        <w:rPr>
          <w:lang w:val="en-US" w:eastAsia="en-US" w:bidi="en-US"/>
        </w:rPr>
        <w:t xml:space="preserve">cafe </w:t>
      </w:r>
      <w:r>
        <w:t>dalam lingkungan masyarakat, Pandangan Teologis tentang kesenangan dan kenikmatan dalam Perjanjian Lama dan Perjanjian Baru.</w:t>
      </w:r>
    </w:p>
    <w:p w:rsidR="0085798E" w:rsidRDefault="003E2FB5">
      <w:pPr>
        <w:pStyle w:val="Bodytext20"/>
        <w:shd w:val="clear" w:color="auto" w:fill="auto"/>
        <w:spacing w:before="0" w:after="0" w:line="576" w:lineRule="exact"/>
        <w:ind w:left="2600"/>
      </w:pPr>
      <w:r>
        <w:t xml:space="preserve">BAB III : Berisi </w:t>
      </w:r>
      <w:r>
        <w:t>Metodologi penelitian yang terdiri dari: Tempat dan lokasi penelitian, jenis penelitian, Teknik pengumpulan data,</w:t>
      </w:r>
    </w:p>
    <w:p w:rsidR="0085798E" w:rsidRDefault="003E2FB5">
      <w:pPr>
        <w:pStyle w:val="Bodytext20"/>
        <w:shd w:val="clear" w:color="auto" w:fill="auto"/>
        <w:spacing w:before="0" w:after="0" w:line="260" w:lineRule="exact"/>
        <w:ind w:left="2600" w:firstLine="0"/>
        <w:jc w:val="left"/>
      </w:pPr>
      <w:r>
        <w:t>dan teknik analisa data</w:t>
      </w:r>
    </w:p>
    <w:sectPr w:rsidR="0085798E">
      <w:pgSz w:w="12240" w:h="15840"/>
      <w:pgMar w:top="1747" w:right="2237" w:bottom="1747" w:left="73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E2FB5">
      <w:r>
        <w:separator/>
      </w:r>
    </w:p>
  </w:endnote>
  <w:endnote w:type="continuationSeparator" w:id="0">
    <w:p w:rsidR="00000000" w:rsidRDefault="003E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98E" w:rsidRDefault="003E2FB5">
      <w:r>
        <w:separator/>
      </w:r>
    </w:p>
  </w:footnote>
  <w:footnote w:type="continuationSeparator" w:id="0">
    <w:p w:rsidR="0085798E" w:rsidRDefault="003E2FB5">
      <w:r>
        <w:continuationSeparator/>
      </w:r>
    </w:p>
  </w:footnote>
  <w:footnote w:id="1">
    <w:p w:rsidR="0085798E" w:rsidRDefault="003E2FB5">
      <w:pPr>
        <w:pStyle w:val="Footnote0"/>
        <w:shd w:val="clear" w:color="auto" w:fill="auto"/>
        <w:spacing w:line="210" w:lineRule="exact"/>
        <w:ind w:right="80"/>
      </w:pPr>
      <w:r>
        <w:rPr>
          <w:vertAlign w:val="superscript"/>
        </w:rPr>
        <w:footnoteRef/>
      </w:r>
      <w:r>
        <w:t xml:space="preserve"> Henartemen PfnrfiHiVan dan Kebudavaan. (Ba</w:t>
      </w:r>
      <w:r>
        <w:t>lai Pustaka: Kamus besar Bahasa</w:t>
      </w:r>
    </w:p>
  </w:footnote>
  <w:footnote w:id="2">
    <w:p w:rsidR="0085798E" w:rsidRDefault="003E2FB5">
      <w:pPr>
        <w:pStyle w:val="Footnote0"/>
        <w:shd w:val="clear" w:color="auto" w:fill="auto"/>
        <w:spacing w:after="8" w:line="210" w:lineRule="exact"/>
        <w:ind w:left="1360"/>
        <w:jc w:val="left"/>
      </w:pPr>
      <w:r>
        <w:rPr>
          <w:vertAlign w:val="superscript"/>
        </w:rPr>
        <w:footnoteRef/>
      </w:r>
      <w:r>
        <w:t xml:space="preserve"> </w:t>
      </w:r>
      <w:r>
        <w:t xml:space="preserve">Tafsiran </w:t>
      </w:r>
      <w:r>
        <w:t>Alkitab Masa kini 2 Ayub-Maleakhi (Jakarta: Yayasan Komunikasi Bina</w:t>
      </w:r>
    </w:p>
    <w:p w:rsidR="0085798E" w:rsidRDefault="003E2FB5">
      <w:pPr>
        <w:pStyle w:val="Footnote0"/>
        <w:shd w:val="clear" w:color="auto" w:fill="auto"/>
        <w:spacing w:line="210" w:lineRule="exact"/>
        <w:ind w:left="560"/>
        <w:jc w:val="left"/>
      </w:pPr>
      <w:r>
        <w:t>Kasih:</w:t>
      </w:r>
    </w:p>
  </w:footnote>
  <w:footnote w:id="3">
    <w:p w:rsidR="0085798E" w:rsidRDefault="003E2FB5">
      <w:pPr>
        <w:pStyle w:val="Footnote0"/>
        <w:shd w:val="clear" w:color="auto" w:fill="auto"/>
        <w:spacing w:line="485" w:lineRule="exact"/>
        <w:ind w:left="560" w:firstLine="800"/>
        <w:jc w:val="left"/>
      </w:pPr>
      <w:r>
        <w:rPr>
          <w:vertAlign w:val="superscript"/>
        </w:rPr>
        <w:footnoteRef/>
      </w:r>
      <w:r>
        <w:t xml:space="preserve">Malcolm </w:t>
      </w:r>
      <w:r>
        <w:rPr>
          <w:lang w:val="en-US" w:eastAsia="en-US" w:bidi="en-US"/>
        </w:rPr>
        <w:t xml:space="preserve">Brownlee, </w:t>
      </w:r>
      <w:r>
        <w:rPr>
          <w:rStyle w:val="FootnoteItalic"/>
        </w:rPr>
        <w:t xml:space="preserve">Pengambilan Keputusan Etis Dan Faktor-Faktor Di Dalamny, </w:t>
      </w:r>
      <w:r>
        <w:t xml:space="preserve">(Jakarta: BPK: Gunung Mulia: 2001), </w:t>
      </w:r>
      <w:r>
        <w:rPr>
          <w:lang w:val="en-US" w:eastAsia="en-US" w:bidi="en-US"/>
        </w:rPr>
        <w:t xml:space="preserve">him. </w:t>
      </w:r>
      <w:r>
        <w:t>122-123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D87EA8"/>
    <w:multiLevelType w:val="multilevel"/>
    <w:tmpl w:val="89C4BD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BC62C86"/>
    <w:multiLevelType w:val="multilevel"/>
    <w:tmpl w:val="AFFAA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CE536D0"/>
    <w:multiLevelType w:val="multilevel"/>
    <w:tmpl w:val="FF4CBB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85798E"/>
    <w:rsid w:val="003E2FB5"/>
    <w:rsid w:val="00857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8CD8F-F885-401F-B969-8F837277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1"/>
      <w:szCs w:val="21"/>
      <w:u w:val="none"/>
    </w:rPr>
  </w:style>
  <w:style w:type="character" w:customStyle="1" w:styleId="FootnoteItalic">
    <w:name w:val="Footnote + Italic"/>
    <w:aliases w:val="Spacing 0 pt"/>
    <w:basedOn w:val="Footnote"/>
    <w:rPr>
      <w:rFonts w:ascii="Times New Roman" w:eastAsia="Times New Roman" w:hAnsi="Times New Roman" w:cs="Times New Roman"/>
      <w:b w:val="0"/>
      <w:bCs w:val="0"/>
      <w:i/>
      <w:iCs/>
      <w:smallCaps w:val="0"/>
      <w:strike w:val="0"/>
      <w:color w:val="000000"/>
      <w:spacing w:val="-10"/>
      <w:w w:val="100"/>
      <w:position w:val="0"/>
      <w:sz w:val="21"/>
      <w:szCs w:val="21"/>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paragraph" w:customStyle="1" w:styleId="Footnote0">
    <w:name w:val="Footnote"/>
    <w:basedOn w:val="Normal"/>
    <w:link w:val="Footnote"/>
    <w:pPr>
      <w:shd w:val="clear" w:color="auto" w:fill="FFFFFF"/>
      <w:spacing w:line="0" w:lineRule="atLeast"/>
      <w:jc w:val="center"/>
    </w:pPr>
    <w:rPr>
      <w:rFonts w:ascii="Times New Roman" w:eastAsia="Times New Roman" w:hAnsi="Times New Roman" w:cs="Times New Roman"/>
      <w:sz w:val="21"/>
      <w:szCs w:val="21"/>
    </w:rPr>
  </w:style>
  <w:style w:type="paragraph" w:customStyle="1" w:styleId="Bodytext30">
    <w:name w:val="Body text (3)"/>
    <w:basedOn w:val="Normal"/>
    <w:link w:val="Bodytext3"/>
    <w:pPr>
      <w:shd w:val="clear" w:color="auto" w:fill="FFFFFF"/>
      <w:spacing w:after="600" w:line="0" w:lineRule="atLeast"/>
      <w:jc w:val="center"/>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before="600" w:after="180" w:line="609" w:lineRule="exact"/>
      <w:ind w:hanging="1280"/>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1196</Words>
  <Characters>6820</Characters>
  <Application>Microsoft Office Word</Application>
  <DocSecurity>0</DocSecurity>
  <Lines>56</Lines>
  <Paragraphs>15</Paragraphs>
  <ScaleCrop>false</ScaleCrop>
  <Company/>
  <LinksUpToDate>false</LinksUpToDate>
  <CharactersWithSpaces>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2024-04-10T10:28:00Z</dcterms:created>
  <dcterms:modified xsi:type="dcterms:W3CDTF">2024-04-10T10:28:00Z</dcterms:modified>
</cp:coreProperties>
</file>