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13" w:line="21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KEPUSTAKAAN</w:t>
      </w:r>
    </w:p>
    <w:p>
      <w:pPr>
        <w:pStyle w:val="Style8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4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 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7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</w:p>
    <w:p>
      <w:pPr>
        <w:pStyle w:val="Style8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Sandra, </w:t>
      </w:r>
      <w:r>
        <w:rPr>
          <w:rStyle w:val="CharStyle10"/>
        </w:rPr>
        <w:t>Langkah-Langkah Menuju keutuhan dan Kebebasan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(Zameim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Ministries,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Stuart, Smith Jane, </w:t>
      </w:r>
      <w:r>
        <w:rPr>
          <w:rStyle w:val="CharStyle10"/>
        </w:rPr>
        <w:t>Karunia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(Surabaya: Momentum, 2003). Djohan, </w:t>
      </w:r>
      <w:r>
        <w:rPr>
          <w:rStyle w:val="CharStyle10"/>
        </w:rPr>
        <w:t>Psikologi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Penerbit Buku Baik, 2003). Departemen Pendidikan Nasional, </w:t>
      </w:r>
      <w:r>
        <w:rPr>
          <w:rStyle w:val="CharStyle10"/>
        </w:rPr>
        <w:t xml:space="preserve">Kamus Besar Bahasa Indonesia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 Balai Pustaka, 1989).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Martasudjita, </w:t>
      </w:r>
      <w:r>
        <w:rPr>
          <w:rStyle w:val="CharStyle10"/>
        </w:rPr>
        <w:t>Musik dan Nyanyian Liturgi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Kansius, 2001). Lembaga Literatur Babtis, </w:t>
      </w:r>
      <w:r>
        <w:rPr>
          <w:rStyle w:val="CharStyle10"/>
        </w:rPr>
        <w:t>Pengetahuan Dasar Musik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(Bandung: 1983).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Mike,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Viv Hibbert, </w:t>
      </w:r>
      <w:r>
        <w:rPr>
          <w:rStyle w:val="CharStyle10"/>
        </w:rPr>
        <w:t>Pelayanan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Yayasan Andi, 1988).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Mike,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Viv Hibbert, Ringkasan Referensi Peganjian Baru Tentang Musik (Yogyakarta: Yyayasan Andi, 2001).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Maelong,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</w:t>
      </w:r>
      <w:r>
        <w:rPr>
          <w:rStyle w:val="CharStyle10"/>
        </w:rPr>
        <w:t>Metodologi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PT Remaja Rosdakarya Offsed, 2002).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Mohammad, </w:t>
      </w:r>
      <w:r>
        <w:rPr>
          <w:rStyle w:val="CharStyle10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Ghalia Indonesia, 1988). Basrovi,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 akarta: Rinoka Cipta, 2008). Martasudjita, </w:t>
      </w:r>
      <w:r>
        <w:rPr>
          <w:rStyle w:val="CharStyle10"/>
        </w:rPr>
        <w:t>Memilih Nyanyian Liturgi, Panduan untuk Petugas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(Yogyakarta: Kanisius, 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320" w:right="0" w:firstLine="0"/>
        <w:sectPr>
          <w:headerReference w:type="default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1805" w:left="2421" w:right="3231" w:bottom="180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Rasid Rachman, </w:t>
      </w:r>
      <w:r>
        <w:rPr>
          <w:rStyle w:val="CharStyle10"/>
        </w:rPr>
        <w:t>Nyanyian Jemaat dalam Liturgi,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(Tangerang: Bintang Fajar, 1999).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Karl Edmund., </w:t>
      </w:r>
      <w:r>
        <w:rPr>
          <w:rStyle w:val="CharStyle10"/>
        </w:rPr>
        <w:t>Sejarah Musik Jilid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Pusat Musik Liurgi, 1991).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Karl Edmund.., </w:t>
      </w:r>
      <w:r>
        <w:rPr>
          <w:rStyle w:val="CharStyle10"/>
        </w:rPr>
        <w:t>Sejarah Musik Jilid 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Pusat Musik Liurgi, 1995).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4" w:line="37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Rodherick J., </w:t>
      </w:r>
      <w:r>
        <w:rPr>
          <w:rStyle w:val="CharStyle10"/>
        </w:rPr>
        <w:t>Sejarah Musik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BPK Gunung Mulia, 2008). Ester Gunawan, </w:t>
      </w:r>
      <w:r>
        <w:rPr>
          <w:rStyle w:val="CharStyle10"/>
        </w:rPr>
        <w:t>Peran Musik Dalam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(Bandung, 2009).</w:t>
      </w:r>
    </w:p>
    <w:p>
      <w:pPr>
        <w:pStyle w:val="Style8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Majalah dan 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Majalah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praise.com </w:t>
      </w:r>
      <w:r>
        <w:rPr>
          <w:rStyle w:val="CharStyle10"/>
        </w:rPr>
        <w:t>Perkembangan Musik Di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Badung 2012.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Http://www.magisterpsikologi.com/?p=36(akses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 Februari 2013).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Http://m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ataj iwaku .com/j oumal/item 12/Perkembangan Musik Indonesia.</w:t>
      </w:r>
    </w:p>
    <w:sectPr>
      <w:pgSz w:w="12240" w:h="15840"/>
      <w:pgMar w:top="2150" w:left="2598" w:right="3150" w:bottom="215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29.4pt;margin-top:343.45pt;width:2.8pt;height:2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«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2.7pt;margin-top:688.45pt;width:8.85pt;height:7.6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6.45pt;margin-top:38.75pt;width:9.95pt;height:6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</w:rPr>
                  <w:t>48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Schoolbook" w:eastAsia="Century Schoolbook" w:hAnsi="Century Schoolbook" w:cs="Century Schoolbook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1">
    <w:name w:val="Header or footer + Times New Roman,5 pt"/>
    <w:basedOn w:val="CharStyle6"/>
    <w:rPr>
      <w:lang w:val="id-ID" w:eastAsia="id-ID" w:bidi="id-ID"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3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Schoolbook" w:eastAsia="Century Schoolbook" w:hAnsi="Century Schoolbook" w:cs="Century Schoolbook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380" w:line="378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