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98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919" w:left="0" w:right="0" w:bottom="94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519" w:line="300" w:lineRule="exact"/>
        <w:ind w:left="0" w:right="2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5" w:line="26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90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Balalembang, Luter, </w:t>
      </w:r>
      <w:r>
        <w:rPr>
          <w:rStyle w:val="CharStyle11"/>
        </w:rPr>
        <w:t>Adat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Makale: Dinas Parawisata Toraja Utara, 2007.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42" w:line="240" w:lineRule="exact"/>
        <w:ind w:left="540" w:right="0"/>
      </w:pPr>
      <w:r>
        <w:rPr>
          <w:rStyle w:val="CharStyle14"/>
          <w:i w:val="0"/>
          <w:iCs w:val="0"/>
        </w:rPr>
        <w:t xml:space="preserve">Browsi, dkk,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Memahami Penelitian Kualitatif Jakarta:</w:t>
      </w:r>
      <w:r>
        <w:rPr>
          <w:rStyle w:val="CharStyle14"/>
          <w:i w:val="0"/>
          <w:iCs w:val="0"/>
        </w:rPr>
        <w:t xml:space="preserve"> Rineka Cipta,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94" w:line="29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Clifford,Geertz, </w:t>
      </w:r>
      <w:r>
        <w:rPr>
          <w:rStyle w:val="CharStyle11"/>
        </w:rPr>
        <w:t>Kebudayaan dan Agama,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teij. Francisco Budi Hardiman Yogyakarta: Refleksi BudayaKanisius,1992.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47" w:line="298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Theodorus, </w:t>
      </w:r>
      <w:r>
        <w:rPr>
          <w:rStyle w:val="CharStyle11"/>
        </w:rPr>
        <w:t>Aluk, Adat, dan Kebudayaan Dalam Perjumpaannya Dengan 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Pusbang Badan Pekerja Sinode, 1992,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3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 Theodorus, </w:t>
      </w:r>
      <w:r>
        <w:rPr>
          <w:rStyle w:val="CharStyle11"/>
        </w:rPr>
        <w:t>Injil dan Tongkonan.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BPK. Gunung Mulia, 2008.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54" w:line="307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Lumintang, Stevri Inda &amp; Lumintang, Danik Astuti, </w:t>
      </w:r>
      <w:r>
        <w:rPr>
          <w:rStyle w:val="CharStyle11"/>
        </w:rPr>
        <w:t>Theologi Penelitian &amp; Penelitian Theologi.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Geneva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Insani Indonesia, 2016.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Mack, Dieter, </w:t>
      </w:r>
      <w:r>
        <w:rPr>
          <w:rStyle w:val="CharStyle11"/>
        </w:rPr>
        <w:t>Ilmu Melodi,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Yogyakarta; Percetakan Rejeki, 2015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5" w:line="298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William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Malm, </w:t>
      </w:r>
      <w:r>
        <w:rPr>
          <w:rStyle w:val="CharStyle11"/>
          <w:lang w:val="en-US" w:eastAsia="en-US" w:bidi="en-US"/>
        </w:rPr>
        <w:t xml:space="preserve">Music Culture Of The Pasific, The Near East and Asia, </w:t>
      </w:r>
      <w:r>
        <w:rPr>
          <w:rStyle w:val="CharStyle11"/>
        </w:rPr>
        <w:t>Terjemahan Takari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Medan;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Departemen Etnomusikologi, Fakultas Sastra Universitas Sumatera Utara, 1977.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Miller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Haugh M., </w:t>
      </w:r>
      <w:r>
        <w:rPr>
          <w:rStyle w:val="CharStyle11"/>
        </w:rPr>
        <w:t>Apresiasi Musik.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Thafa Media Yogyakarta, 2017.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Nakagawa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Shin, </w:t>
      </w:r>
      <w:r>
        <w:rPr>
          <w:rStyle w:val="CharStyle11"/>
        </w:rPr>
        <w:t>Musik dan Kosmos.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Obor Indonesia, 2000.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605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Natsir, Mohammad, </w:t>
      </w:r>
      <w:r>
        <w:rPr>
          <w:rStyle w:val="CharStyle11"/>
        </w:rPr>
        <w:t>Metode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Ghalia, 1988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73" w:line="315" w:lineRule="exact"/>
        <w:ind w:left="540" w:right="0"/>
      </w:pPr>
      <w:r>
        <w:rPr>
          <w:rStyle w:val="CharStyle14"/>
          <w:i w:val="0"/>
          <w:iCs w:val="0"/>
        </w:rPr>
        <w:t xml:space="preserve">Nettl, </w:t>
      </w:r>
      <w:r>
        <w:rPr>
          <w:rStyle w:val="CharStyle14"/>
          <w:lang w:val="en-US" w:eastAsia="en-US" w:bidi="en-US"/>
          <w:i w:val="0"/>
          <w:iCs w:val="0"/>
        </w:rPr>
        <w:t xml:space="preserve">Bruno,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Teori dan Metode Dalam Etnomusikologi.</w:t>
      </w:r>
      <w:r>
        <w:rPr>
          <w:rStyle w:val="CharStyle14"/>
          <w:i w:val="0"/>
          <w:iCs w:val="0"/>
        </w:rPr>
        <w:t xml:space="preserve"> Jayapura: Jayapura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Center Of Music,</w:t>
      </w:r>
      <w:r>
        <w:rPr>
          <w:rStyle w:val="CharStyle14"/>
          <w:lang w:val="en-US" w:eastAsia="en-US" w:bidi="en-US"/>
          <w:i w:val="0"/>
          <w:iCs w:val="0"/>
        </w:rPr>
        <w:t xml:space="preserve"> </w:t>
      </w:r>
      <w:r>
        <w:rPr>
          <w:rStyle w:val="CharStyle14"/>
          <w:i w:val="0"/>
          <w:iCs w:val="0"/>
        </w:rPr>
        <w:t>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93" w:line="324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Prier,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Carl Edmund, </w:t>
      </w:r>
      <w:r>
        <w:rPr>
          <w:rStyle w:val="CharStyle11"/>
        </w:rPr>
        <w:t>Inkulturasi Musik Liturgi 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Percetakan Rejeki,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80" w:line="332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Rappoport,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Dana, </w:t>
      </w:r>
      <w:r>
        <w:rPr>
          <w:rStyle w:val="CharStyle11"/>
        </w:rPr>
        <w:t>Musik Ritual Toraja Dari Pulau Sulawesi,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Jakarta; Gramedia,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1" w:line="332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Ratna, Nyoman Kutha, </w:t>
      </w:r>
      <w:r>
        <w:rPr>
          <w:rStyle w:val="CharStyle11"/>
        </w:rPr>
        <w:t xml:space="preserve">Sastra </w:t>
      </w:r>
      <w:r>
        <w:rPr>
          <w:rStyle w:val="CharStyle11"/>
          <w:lang w:val="en-US" w:eastAsia="en-US" w:bidi="en-US"/>
        </w:rPr>
        <w:t>dan Cultural Studies.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Yogyakarta:Pustaka Belajar, 2005.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540" w:right="0"/>
      </w:pPr>
      <w:r>
        <w:rPr>
          <w:rStyle w:val="CharStyle14"/>
          <w:i w:val="0"/>
          <w:iCs w:val="0"/>
        </w:rPr>
        <w:t xml:space="preserve">R. </w:t>
      </w:r>
      <w:r>
        <w:rPr>
          <w:rStyle w:val="CharStyle14"/>
          <w:lang w:val="en-US" w:eastAsia="en-US" w:bidi="en-US"/>
          <w:i w:val="0"/>
          <w:iCs w:val="0"/>
        </w:rPr>
        <w:t xml:space="preserve">Yohanis, Manta’,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Sastra Toraja</w:t>
      </w:r>
      <w:r>
        <w:rPr>
          <w:rStyle w:val="CharStyle14"/>
          <w:i w:val="0"/>
          <w:iCs w:val="0"/>
        </w:rPr>
        <w:t xml:space="preserve">;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Kumpulan kada-kada Tominaa Dalam Rambu Tuka '-Rambu Solo</w:t>
      </w:r>
      <w:r>
        <w:rPr>
          <w:rStyle w:val="CharStyle14"/>
          <w:i w:val="0"/>
          <w:iCs w:val="0"/>
        </w:rPr>
        <w:t xml:space="preserve"> '.Rantepao: PT Sulo,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3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Semi, M. Atar, </w:t>
      </w:r>
      <w:r>
        <w:rPr>
          <w:rStyle w:val="CharStyle11"/>
        </w:rPr>
        <w:t>Anatomi Sastra.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Erlangga, 1984.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26" w:line="273" w:lineRule="exact"/>
        <w:ind w:left="5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</w:t>
      </w:r>
      <w:r>
        <w:rPr>
          <w:rStyle w:val="CharStyle11"/>
        </w:rPr>
        <w:t>Pengantar Riset Kuantitatif dan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Kalam Hidup,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1"/>
        </w:rPr>
        <w:t>Memahami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1"/>
        </w:rPr>
        <w:t>Metode Penelitian Administrasi.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Suhartono, Irawan, </w:t>
      </w:r>
      <w:r>
        <w:rPr>
          <w:rStyle w:val="CharStyle11"/>
        </w:rPr>
        <w:t>Metode Penelitian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294"/>
        <w:ind w:left="5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7"/>
          <w:b w:val="0"/>
          <w:bCs w:val="0"/>
        </w:rPr>
        <w:t>.</w:t>
      </w:r>
      <w:bookmarkEnd w:id="1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00" w:line="298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Sukmadinata, Nana Syaodih, </w:t>
      </w:r>
      <w:r>
        <w:rPr>
          <w:rStyle w:val="CharStyle11"/>
        </w:rPr>
        <w:t>Tuntunan Penulisan Karya Ilmiah.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Sinar Baru Alegensindo,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93" w:line="298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Sukmadinata, Nana Syaodih, </w:t>
      </w:r>
      <w:r>
        <w:rPr>
          <w:rStyle w:val="CharStyle11"/>
        </w:rPr>
        <w:t>Metode Penelitian 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Remaja Rosdakarya,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54" w:line="307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Supanggah, Rahayu, </w:t>
      </w:r>
      <w:r>
        <w:rPr>
          <w:rStyle w:val="CharStyle11"/>
        </w:rPr>
        <w:t>Etnomusikologi.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Yayasan Obor Bentang Budaya, 1995.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6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Sylado, Remi, </w:t>
      </w:r>
      <w:r>
        <w:rPr>
          <w:rStyle w:val="CharStyle11"/>
        </w:rPr>
        <w:t>Menuju Apresiasi Musik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Angkasa, 1983.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44" w:line="315" w:lineRule="exact"/>
        <w:ind w:left="540" w:right="0"/>
      </w:pPr>
      <w:r>
        <w:rPr>
          <w:rStyle w:val="CharStyle14"/>
          <w:i w:val="0"/>
          <w:iCs w:val="0"/>
        </w:rPr>
        <w:t xml:space="preserve">Tulak, </w:t>
      </w:r>
      <w:r>
        <w:rPr>
          <w:rStyle w:val="CharStyle14"/>
          <w:lang w:val="en-US" w:eastAsia="en-US" w:bidi="en-US"/>
          <w:i w:val="0"/>
          <w:iCs w:val="0"/>
        </w:rPr>
        <w:t xml:space="preserve">Daniel,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Kada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Disedan Sarong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Bisara Ditoke' Tambane Baka.</w:t>
      </w:r>
      <w:r>
        <w:rPr>
          <w:rStyle w:val="CharStyle14"/>
          <w:i w:val="0"/>
          <w:iCs w:val="0"/>
        </w:rPr>
        <w:t xml:space="preserve"> Rantepao; Siayoka, 2009.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00" w:line="307" w:lineRule="exact"/>
        <w:ind w:left="540" w:right="0"/>
      </w:pPr>
      <w:r>
        <w:rPr>
          <w:rStyle w:val="CharStyle14"/>
          <w:lang w:val="en-US" w:eastAsia="en-US" w:bidi="en-US"/>
          <w:i w:val="0"/>
          <w:iCs w:val="0"/>
        </w:rPr>
        <w:t xml:space="preserve">Katto, Alan,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Dondi' Pada Upacara Pesta Pemakaman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Simon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Katto Di Desa Lalikan, Kecamatan Rindingallo, Kabupaten Toraja Utara.</w:t>
      </w:r>
      <w:r>
        <w:rPr>
          <w:rStyle w:val="CharStyle14"/>
          <w:i w:val="0"/>
          <w:iCs w:val="0"/>
        </w:rPr>
        <w:t xml:space="preserve"> Skripsi, Universitas Negeri Makasar, 2017.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38" w:line="307" w:lineRule="exact"/>
        <w:ind w:left="540" w:right="0"/>
      </w:pPr>
      <w:r>
        <w:rPr>
          <w:rStyle w:val="CharStyle14"/>
          <w:i w:val="0"/>
          <w:iCs w:val="0"/>
        </w:rPr>
        <w:t xml:space="preserve">Rosadi, Okky Satya,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Tekhnik Permainan Istrumen Dan Fungsi Musik Tradisional Phek Bung Di Desa Wijirejo, Kabupaten Bantul, Daerah Istimewa Yogyakarta.</w:t>
      </w:r>
      <w:r>
        <w:rPr>
          <w:rStyle w:val="CharStyle14"/>
          <w:i w:val="0"/>
          <w:iCs w:val="0"/>
        </w:rPr>
        <w:t xml:space="preserve"> Skripsi, Universitas Negeri Yogyakarta, 2012.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01" w:line="324" w:lineRule="exact"/>
        <w:ind w:left="540" w:right="0"/>
      </w:pPr>
      <w:r>
        <w:rPr>
          <w:rStyle w:val="CharStyle14"/>
          <w:lang w:val="en-US" w:eastAsia="en-US" w:bidi="en-US"/>
          <w:i w:val="0"/>
          <w:iCs w:val="0"/>
        </w:rPr>
        <w:t xml:space="preserve">Astute, Linda,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“Pemaknaan Pesan Pada Upacara Ritual </w:t>
      </w:r>
      <w:r>
        <w:rPr>
          <w:rStyle w:val="CharStyle18"/>
          <w:i/>
          <w:iCs/>
        </w:rPr>
        <w:t xml:space="preserve">TabotJurnal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Profesional Vol. 3,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4"/>
          <w:lang w:val="en-US" w:eastAsia="en-US" w:bidi="en-US"/>
          <w:i w:val="0"/>
          <w:iCs w:val="0"/>
        </w:rPr>
        <w:t xml:space="preserve">no. </w:t>
      </w:r>
      <w:r>
        <w:rPr>
          <w:rStyle w:val="CharStyle14"/>
          <w:i w:val="0"/>
          <w:iCs w:val="0"/>
        </w:rPr>
        <w:t>1, Juni 2016.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331" w:line="298" w:lineRule="exact"/>
        <w:ind w:left="540" w:right="0"/>
      </w:pPr>
      <w:r>
        <w:rPr>
          <w:rStyle w:val="CharStyle14"/>
          <w:i w:val="0"/>
          <w:iCs w:val="0"/>
        </w:rPr>
        <w:t xml:space="preserve">Gesong, Dina Dkk.,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“Kearifan Lokal Dalam Cerita Rakyat Toraja Tulangdidi’ Tinjauan Hermeneutik". Jurnal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KIP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Vol IV,</w:t>
      </w:r>
      <w:r>
        <w:rPr>
          <w:rStyle w:val="CharStyle14"/>
          <w:i w:val="0"/>
          <w:iCs w:val="0"/>
        </w:rPr>
        <w:t xml:space="preserve"> </w:t>
      </w:r>
      <w:r>
        <w:rPr>
          <w:rStyle w:val="CharStyle14"/>
          <w:lang w:val="en-US" w:eastAsia="en-US" w:bidi="en-US"/>
          <w:i w:val="0"/>
          <w:iCs w:val="0"/>
        </w:rPr>
        <w:t xml:space="preserve">no. </w:t>
      </w:r>
      <w:r>
        <w:rPr>
          <w:rStyle w:val="CharStyle14"/>
          <w:i w:val="0"/>
          <w:iCs w:val="0"/>
        </w:rPr>
        <w:t>3, November 2016-2017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Banoe, Pono </w:t>
      </w:r>
      <w:r>
        <w:rPr>
          <w:rStyle w:val="CharStyle11"/>
        </w:rPr>
        <w:t>Kamus Musik.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Institute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Musik Dr. Pono Banoe, 2015.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Banoe, Pono </w:t>
      </w:r>
      <w:r>
        <w:rPr>
          <w:rStyle w:val="CharStyle11"/>
        </w:rPr>
        <w:t>Kamus Musik,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Yogyakarta; Kanasius, 2003.</w:t>
      </w:r>
      <w:r>
        <w:br w:type="page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54" w:line="240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Depdiknas. </w:t>
      </w:r>
      <w:r>
        <w:rPr>
          <w:rStyle w:val="CharStyle11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Edisi ketiga: Balai Pustaka, 2003.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78" w:line="307" w:lineRule="exact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Tammu,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 Veen, </w:t>
      </w:r>
      <w:r>
        <w:rPr>
          <w:rStyle w:val="CharStyle11"/>
        </w:rPr>
        <w:t>Kamus Toraja -Indonesia.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Toraja-Rantepao: Yayasan Perguruan Kristen Toraja-Rantepao,1972.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2" w:line="260" w:lineRule="exact"/>
        <w:ind w:left="540" w:right="0"/>
      </w:pPr>
      <w:r>
        <w:rPr>
          <w:w w:val="100"/>
          <w:spacing w:val="0"/>
          <w:color w:val="000000"/>
          <w:position w:val="0"/>
        </w:rPr>
        <w:t>Website: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4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6.5pt;margin-top:45.15pt;width:11.75pt;height:114.2pt;z-index:-125829376;mso-wrap-distance-left:71.15pt;mso-wrap-distance-right:5.pt;mso-position-horizontal-relative:margin;mso-position-vertical-relative:margin" filled="f" stroked="f">
            <v:textbox style="layout-flow:vertical;mso-layout-flow-alt:bottom-to-top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ramaiinmmmirrnir ; t ” i!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http:/langkanmaega.com/bittuang/</w:t>
      </w:r>
    </w:p>
    <w:sectPr>
      <w:type w:val="continuous"/>
      <w:pgSz w:w="12240" w:h="15840"/>
      <w:pgMar w:top="919" w:left="1835" w:right="1824" w:bottom="9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+ Italic,Spacing 0 pt"/>
    <w:basedOn w:val="CharStyle10"/>
    <w:rPr>
      <w:lang w:val="id-ID" w:eastAsia="id-ID" w:bidi="id-ID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4">
    <w:name w:val="Body text (4) + Not Italic,Spacing 0 pt"/>
    <w:basedOn w:val="CharStyle13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Heading #2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Heading #2 + Lucida Sans Unicode,10.5 pt"/>
    <w:basedOn w:val="CharStyle16"/>
    <w:rPr>
      <w:lang w:val="id-ID" w:eastAsia="id-ID" w:bidi="id-ID"/>
      <w:b/>
      <w:b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4) + Spacing 1 pt"/>
    <w:basedOn w:val="CharStyle13"/>
    <w:rPr>
      <w:lang w:val="id-ID" w:eastAsia="id-ID" w:bidi="id-ID"/>
      <w:sz w:val="24"/>
      <w:szCs w:val="24"/>
      <w:w w:val="100"/>
      <w:spacing w:val="3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Georgia" w:eastAsia="Georgia" w:hAnsi="Georgia" w:cs="Georgia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both"/>
      <w:spacing w:before="600" w:after="60" w:line="0" w:lineRule="exact"/>
      <w:ind w:hanging="5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before="60" w:after="30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both"/>
      <w:spacing w:before="300" w:after="300" w:line="0" w:lineRule="exact"/>
      <w:ind w:hanging="5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FFFFFF"/>
      <w:outlineLvl w:val="1"/>
      <w:spacing w:after="300" w:line="29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before="240" w:after="60" w:line="0" w:lineRule="exact"/>
      <w:ind w:hanging="54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