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331" w:left="0" w:right="0" w:bottom="156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846" w:line="240" w:lineRule="exact"/>
        <w:ind w:left="352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/>
        <w:ind w:left="1340" w:right="0"/>
      </w:pPr>
      <w:r>
        <w:rPr>
          <w:rStyle w:val="CharStyle10"/>
          <w:i w:val="0"/>
          <w:iCs w:val="0"/>
        </w:rPr>
        <w:t xml:space="preserve">rifin, Zainal,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Evaluasi Pembelajaran (Prinsip, Teknik, dan Prosedur),</w:t>
      </w:r>
      <w:r>
        <w:rPr>
          <w:rStyle w:val="CharStyle10"/>
          <w:i w:val="0"/>
          <w:iCs w:val="0"/>
        </w:rPr>
        <w:t xml:space="preserve"> (Bandung: Remaja Rosdakarya, 2011).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77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Arifin, Zainal, </w:t>
      </w:r>
      <w:r>
        <w:rPr>
          <w:rStyle w:val="CharStyle13"/>
        </w:rPr>
        <w:t>Penelitian Pendidikan Metode dan Paradigma Baru,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PT Remaja Rosdakarya, 2012).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40" w:line="210" w:lineRule="exact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Banoe, Pono, </w:t>
      </w:r>
      <w:r>
        <w:rPr>
          <w:rStyle w:val="CharStyle13"/>
        </w:rPr>
        <w:t>Kamus Umum Musik,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Institut Musik Dr. Pono Banoe, 2016).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0" w:line="339" w:lineRule="exact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Batubara, Jose, Perkembangan Remaja, </w:t>
      </w:r>
      <w:r>
        <w:rPr>
          <w:rStyle w:val="CharStyle13"/>
        </w:rPr>
        <w:t>Jurnal Umu Kesehatan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 12,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15. </w:t>
      </w:r>
      <w:r>
        <w:rPr>
          <w:rStyle w:val="CharStyle13"/>
        </w:rPr>
        <w:t>(Juni,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2010).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83" w:line="339" w:lineRule="exact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Buana, Iwan, </w:t>
      </w:r>
      <w:r>
        <w:rPr>
          <w:rStyle w:val="CharStyle13"/>
          <w:lang w:val="en-US" w:eastAsia="en-US" w:bidi="en-US"/>
        </w:rPr>
        <w:t xml:space="preserve">Training </w:t>
      </w:r>
      <w:r>
        <w:rPr>
          <w:rStyle w:val="CharStyle13"/>
        </w:rPr>
        <w:t>Paduan Suara UIN Jakarta,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Panitia Trapara UIN Jakarta, 2002).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50" w:line="210" w:lineRule="exact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Chatib, Munif, </w:t>
      </w:r>
      <w:r>
        <w:rPr>
          <w:rStyle w:val="CharStyle13"/>
        </w:rPr>
        <w:t>Sekolahnya Manusia,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PT. Mizan Pustaka, 2014).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43" w:line="210" w:lineRule="exact"/>
        <w:ind w:left="13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Davi, Gary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</w:t>
      </w:r>
      <w:r>
        <w:rPr>
          <w:rStyle w:val="CharStyle13"/>
        </w:rPr>
        <w:t>anak berbakat dan pendidikan keberbakatan,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PT Indeks, 2012).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6" w:line="354" w:lineRule="exact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Djamaluddin, Ahdar, </w:t>
      </w:r>
      <w:r>
        <w:rPr>
          <w:rStyle w:val="CharStyle13"/>
        </w:rPr>
        <w:t>Belajar dan Pembelajaran,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(Sul-Sel: Cv.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Kaaffah Learning Center,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347" w:lineRule="exact"/>
        <w:ind w:left="1340" w:right="0"/>
      </w:pPr>
      <w:r>
        <w:rPr>
          <w:rStyle w:val="CharStyle10"/>
          <w:i w:val="0"/>
          <w:iCs w:val="0"/>
        </w:rPr>
        <w:t xml:space="preserve">Fitrah, Muh. dan Luthfiyah,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Penelitian, Penelitian Kualitatif Tindakan kelas dan Studi Kasus,</w:t>
      </w:r>
      <w:r>
        <w:rPr>
          <w:rStyle w:val="CharStyle10"/>
          <w:i w:val="0"/>
          <w:iCs w:val="0"/>
        </w:rPr>
        <w:t xml:space="preserve"> (Sukabumi: Cv. Jejak, 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89" w:line="347" w:lineRule="exact"/>
        <w:ind w:left="1340" w:right="0"/>
      </w:pPr>
      <w:r>
        <w:rPr>
          <w:rStyle w:val="CharStyle10"/>
          <w:i w:val="0"/>
          <w:iCs w:val="0"/>
        </w:rPr>
        <w:t xml:space="preserve">Guna wan, Imam,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Kualitatif Teori dan Praktek,</w:t>
      </w:r>
      <w:r>
        <w:rPr>
          <w:rStyle w:val="CharStyle10"/>
          <w:i w:val="0"/>
          <w:iCs w:val="0"/>
        </w:rPr>
        <w:t xml:space="preserve"> (Jakarta: Bumi Aksara, 2013).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12" w:line="210" w:lineRule="exact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Gardner, </w:t>
      </w:r>
      <w:r>
        <w:rPr>
          <w:rStyle w:val="CharStyle13"/>
          <w:lang w:val="en-US" w:eastAsia="en-US" w:bidi="en-US"/>
        </w:rPr>
        <w:t xml:space="preserve">Education </w:t>
      </w:r>
      <w:r>
        <w:rPr>
          <w:rStyle w:val="CharStyle13"/>
        </w:rPr>
        <w:t xml:space="preserve">and Human </w:t>
      </w:r>
      <w:r>
        <w:rPr>
          <w:rStyle w:val="CharStyle13"/>
          <w:lang w:val="en-US" w:eastAsia="en-US" w:bidi="en-US"/>
        </w:rPr>
        <w:t>Development,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(Hardvar Education Review).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13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Hamalik, Oemar, </w:t>
      </w:r>
      <w:r>
        <w:rPr>
          <w:rStyle w:val="CharStyle13"/>
        </w:rPr>
        <w:t xml:space="preserve">Kurikulum </w:t>
      </w:r>
      <w:r>
        <w:rPr>
          <w:rStyle w:val="CharStyle13"/>
          <w:lang w:val="en-US" w:eastAsia="en-US" w:bidi="en-US"/>
        </w:rPr>
        <w:t xml:space="preserve">Dan </w:t>
      </w:r>
      <w:r>
        <w:rPr>
          <w:rStyle w:val="CharStyle13"/>
        </w:rPr>
        <w:t>Pembelajaran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PT Bumi Aksara,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2003).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"/>
          <w:i w:val="0"/>
          <w:iCs w:val="0"/>
        </w:rPr>
        <w:t xml:space="preserve">Julia,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Orientasi Estetik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Gaya Pirigan Kacapi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Indung dafam Kesenian Tembang Sunda Cianjura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137"/>
        <w:ind w:left="1340" w:right="0"/>
      </w:pPr>
      <w:r>
        <w:rPr>
          <w:rStyle w:val="CharStyle19"/>
        </w:rPr>
        <w:t>di Jawa Barat,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(Sumedang Jawa Barat: UPI Sumedang Press, 2018) 26.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1340" w:right="0"/>
        <w:sectPr>
          <w:type w:val="continuous"/>
          <w:pgSz w:w="12240" w:h="15840"/>
          <w:pgMar w:top="1331" w:left="1276" w:right="2123" w:bottom="156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Junyanto,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Rolfi, Viktor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Jusuf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Arnold,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Rebeka Filda, Manajemen Musik Gereja dalam Mata Kuliah Pengantar Layanan Musik Gereja, </w:t>
      </w:r>
      <w:r>
        <w:rPr>
          <w:rStyle w:val="CharStyle13"/>
        </w:rPr>
        <w:t>Jurnal, Manajemen Musik Gereja,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1, (Juni 2022).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316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Kementerian Kesehatan RI. </w:t>
      </w:r>
      <w:r>
        <w:rPr>
          <w:rStyle w:val="CharStyle13"/>
        </w:rPr>
        <w:t>Data dan Informasi Profil Kesehatan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Kementrian Kesehatan RI, 2016).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46" w:line="323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Khoiriyah, Niswati dan Syahrul Syah Sinaga, Pemanfaatan Pemutaran Musik Terhadap Psikologis Pasien Pada Klinik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Ellena Skin Care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Kota Surakarta, </w:t>
      </w:r>
      <w:r>
        <w:rPr>
          <w:rStyle w:val="CharStyle13"/>
        </w:rPr>
        <w:t>furnal Seni Musik,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2, (Desember 2017).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25" w:line="316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Komisi Liturgi Dan Musik Sinode GKI, </w:t>
      </w:r>
      <w:r>
        <w:rPr>
          <w:rStyle w:val="CharStyle13"/>
        </w:rPr>
        <w:t>Musik dalam ibadah,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Komisi Liturgi Dan Musik Sinode GKI, 2012).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12" w:line="210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Lefudin, </w:t>
      </w:r>
      <w:r>
        <w:rPr>
          <w:rStyle w:val="CharStyle13"/>
        </w:rPr>
        <w:t>Belajar dan Pembelajaran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Deepublish, 2017).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18" w:line="308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Maharuddin, Pangewa, </w:t>
      </w:r>
      <w:r>
        <w:rPr>
          <w:rStyle w:val="CharStyle13"/>
        </w:rPr>
        <w:t>Perencanaan Pembelajaran,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(Makassar: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Penerbit UNM, 2010), 147.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90" w:line="210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Mamik, </w:t>
      </w:r>
      <w:r>
        <w:rPr>
          <w:rStyle w:val="CharStyle13"/>
        </w:rPr>
        <w:t>Metode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(Surabaya: Zifatama Jawara, 2015).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34" w:line="316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Mardiah Kalsum Nasution, Penggunaan metode pembelajaran dalam meningkatkan hasil belajar siswa, </w:t>
      </w:r>
      <w:r>
        <w:rPr>
          <w:rStyle w:val="CharStyle13"/>
        </w:rPr>
        <w:t>Jurnal ilmiah bidang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11.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(April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31"/>
        <w:ind w:left="1300" w:right="0" w:hanging="1300"/>
      </w:pPr>
      <w:r>
        <w:rPr>
          <w:rStyle w:val="CharStyle10"/>
          <w:i w:val="0"/>
          <w:iCs w:val="0"/>
        </w:rPr>
        <w:t xml:space="preserve">Martasudjita, 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Pengantar liturgi-makna, sejarah dan teologi Liturgi,</w:t>
      </w:r>
      <w:r>
        <w:rPr>
          <w:rStyle w:val="CharStyle10"/>
          <w:i w:val="0"/>
          <w:iCs w:val="0"/>
        </w:rPr>
        <w:t xml:space="preserve"> (Yoyakarta: Kanisius 1999).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98" w:line="210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Maryati, Kun dan Juju Suryawati, </w:t>
      </w:r>
      <w:r>
        <w:rPr>
          <w:rStyle w:val="CharStyle13"/>
        </w:rPr>
        <w:t>Sosiologi: -Jilid 3,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Esis,2007).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25" w:line="316" w:lineRule="exact"/>
        <w:ind w:left="1300" w:right="0" w:hanging="1300"/>
      </w:pPr>
      <w:r>
        <w:rPr>
          <w:rStyle w:val="CharStyle10"/>
          <w:i w:val="0"/>
          <w:iCs w:val="0"/>
        </w:rPr>
        <w:t xml:space="preserve">Masykur Moch. dan Abdul </w:t>
      </w:r>
      <w:r>
        <w:rPr>
          <w:rStyle w:val="CharStyle10"/>
          <w:lang w:val="en-US" w:eastAsia="en-US" w:bidi="en-US"/>
          <w:i w:val="0"/>
          <w:iCs w:val="0"/>
        </w:rPr>
        <w:t xml:space="preserve">Halim </w:t>
      </w:r>
      <w:r>
        <w:rPr>
          <w:rStyle w:val="CharStyle10"/>
          <w:i w:val="0"/>
          <w:iCs w:val="0"/>
        </w:rPr>
        <w:t xml:space="preserve">Fathani,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Mathematical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Intelegence Cara Cerdas Melatih Otak dan Menanggulangi Kesulitan Belajar,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0"/>
          <w:lang w:val="en-US" w:eastAsia="en-US" w:bidi="en-US"/>
          <w:i w:val="0"/>
          <w:iCs w:val="0"/>
        </w:rPr>
        <w:t xml:space="preserve">(Jogjakarta: </w:t>
      </w:r>
      <w:r>
        <w:rPr>
          <w:rStyle w:val="CharStyle10"/>
          <w:i w:val="0"/>
          <w:iCs w:val="0"/>
        </w:rPr>
        <w:t>Ar-Ruzz Media, 2007).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98" w:line="210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Mawene, </w:t>
      </w:r>
      <w:r>
        <w:rPr>
          <w:rStyle w:val="CharStyle13"/>
        </w:rPr>
        <w:t>Gereja Yang Bernyanyi,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Audi, 2004).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99" w:line="210" w:lineRule="exact"/>
        <w:ind w:left="1300" w:right="0" w:hanging="13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McNeill,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Rhoderick J. </w:t>
      </w:r>
      <w:r>
        <w:rPr>
          <w:rStyle w:val="CharStyle13"/>
        </w:rPr>
        <w:t>Sejarah musik 1,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BPK Gunung Mulia, 2000).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31" w:line="323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Mersiany, Stevany dan Fian Panekenan, Pendidikan musik sebagai sarana pengembangan kreativitas remaja gereja masehi injili di minahasa, </w:t>
      </w:r>
      <w:r>
        <w:rPr>
          <w:rStyle w:val="CharStyle13"/>
        </w:rPr>
        <w:t>furnal musik dan pendidikan musik,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1.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1, (juni, 2020).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13" w:line="210" w:lineRule="exact"/>
        <w:ind w:left="1300" w:right="0" w:hanging="13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Mike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Viv Hibert, </w:t>
      </w:r>
      <w:r>
        <w:rPr>
          <w:rStyle w:val="CharStyle13"/>
        </w:rPr>
        <w:t>Pelayanan Musik,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Andi, 1988).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1300" w:right="0" w:hanging="13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Miller, Hugh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13"/>
        </w:rPr>
        <w:t>Apresiasi Musik,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Thafa Media, 2017).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1300" w:right="0" w:hanging="13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3"/>
        </w:rPr>
        <w:t xml:space="preserve">Metodologi penelitian Kualitatif </w:t>
      </w:r>
      <w:r>
        <w:rPr>
          <w:rStyle w:val="CharStyle13"/>
          <w:lang w:val="en-US" w:eastAsia="en-US" w:bidi="en-US"/>
        </w:rPr>
        <w:t>(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PT. Remaja Rosdakarya,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366"/>
        <w:ind w:left="130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2012</w:t>
      </w:r>
      <w:r>
        <w:rPr>
          <w:rStyle w:val="CharStyle22"/>
        </w:rPr>
        <w:t>).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90" w:line="210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Mulyasa, H.E. </w:t>
      </w:r>
      <w:r>
        <w:rPr>
          <w:rStyle w:val="CharStyle13"/>
        </w:rPr>
        <w:t>Praktik Penelitian Tindakan Kelas,</w:t>
      </w:r>
      <w:r>
        <w:rPr>
          <w:lang w:val="id-ID" w:eastAsia="id-ID" w:bidi="id-ID"/>
          <w:w w:val="100"/>
          <w:spacing w:val="0"/>
          <w:color w:val="000000"/>
          <w:position w:val="0"/>
        </w:rPr>
        <w:t>(Bandung: Remaja Rosdakarya, 2009).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20" w:line="210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Muslich, Masnur, </w:t>
      </w:r>
      <w:r>
        <w:rPr>
          <w:rStyle w:val="CharStyle13"/>
        </w:rPr>
        <w:t>Melaksanakan PTK itu Mudah</w:t>
      </w:r>
      <w:r>
        <w:rPr>
          <w:rStyle w:val="CharStyle23"/>
        </w:rPr>
        <w:t xml:space="preserve">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(Jakarta: Bumi Aksara,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68" w:line="308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Nainggolan, Dapot Kajian Teologis Terhadap Mu8sik Gerejawi, </w:t>
      </w:r>
      <w:r>
        <w:rPr>
          <w:rStyle w:val="CharStyle13"/>
        </w:rPr>
        <w:t>Jurnal Sekolah Tinggi Teologi Pelita Dunia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Vol. 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1, (Juni 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1"/>
        <w:ind w:left="1300" w:right="0" w:hanging="1300"/>
      </w:pPr>
      <w:r>
        <w:rPr>
          <w:rStyle w:val="CharStyle10"/>
          <w:i w:val="0"/>
          <w:iCs w:val="0"/>
        </w:rPr>
        <w:t xml:space="preserve">Novita, Indri Ayu,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Penerapan Metode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Hand Sign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Dalam Pengenalan Solmisasi Bagi Anak Tunagrahita Ringan di SLB Dharma Wanita Makale</w:t>
      </w:r>
      <w:r>
        <w:rPr>
          <w:rStyle w:val="CharStyle10"/>
          <w:i w:val="0"/>
          <w:iCs w:val="0"/>
        </w:rPr>
        <w:t>, (IAKN Toraja, 2020).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92" w:line="210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Nurhayati, </w:t>
      </w:r>
      <w:r>
        <w:rPr>
          <w:rStyle w:val="CharStyle13"/>
        </w:rPr>
        <w:t>Strategi Belajar Mengajar,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(Makassar: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Penerbit UNM, 2011).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4" w:line="323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Pahan,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Penniy, Perkembangan Musik Gereja Dan Interpretasi Pemusik Gereja Terhadap Nyanyian Jemaat di Gereja Sinta Kuala Kapuas, </w:t>
      </w:r>
      <w:r>
        <w:rPr>
          <w:rStyle w:val="CharStyle13"/>
        </w:rPr>
        <w:t>Jurnal Teologi dan Musik Gereja,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(Mei 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331" w:lineRule="exact"/>
        <w:ind w:left="1300" w:right="0" w:hanging="1300"/>
      </w:pPr>
      <w:r>
        <w:rPr>
          <w:rStyle w:val="CharStyle10"/>
          <w:lang w:val="en-US" w:eastAsia="en-US" w:bidi="en-US"/>
          <w:i w:val="0"/>
          <w:iCs w:val="0"/>
        </w:rPr>
        <w:t xml:space="preserve">Pane, </w:t>
      </w:r>
      <w:r>
        <w:rPr>
          <w:rStyle w:val="CharStyle10"/>
          <w:i w:val="0"/>
          <w:iCs w:val="0"/>
        </w:rPr>
        <w:t xml:space="preserve">Apridah, Belajar dan Pembelajaran,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Jurnal kajian ilmu-ilmu keislaman, Vol. 03.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(Desember 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7" w:line="331" w:lineRule="exact"/>
        <w:ind w:left="1300" w:right="0" w:hanging="1300"/>
      </w:pPr>
      <w:r>
        <w:rPr>
          <w:rStyle w:val="CharStyle10"/>
          <w:lang w:val="en-US" w:eastAsia="en-US" w:bidi="en-US"/>
          <w:i w:val="0"/>
          <w:iCs w:val="0"/>
        </w:rPr>
        <w:t xml:space="preserve">Panuntun, Daniel </w:t>
      </w:r>
      <w:r>
        <w:rPr>
          <w:rStyle w:val="CharStyle10"/>
          <w:i w:val="0"/>
          <w:iCs w:val="0"/>
        </w:rPr>
        <w:t xml:space="preserve">Fajar,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Model Ibadah Sekolah Minggu Kreatif-Interaktif Bagi Generasi Alfa di Gereja</w:t>
      </w:r>
      <w:r>
        <w:rPr>
          <w:rStyle w:val="CharStyle10"/>
          <w:i w:val="0"/>
          <w:iCs w:val="0"/>
        </w:rPr>
        <w:t xml:space="preserve"> (Jurnal BIA, Vol. 2, </w:t>
      </w:r>
      <w:r>
        <w:rPr>
          <w:rStyle w:val="CharStyle10"/>
          <w:lang w:val="en-US" w:eastAsia="en-US" w:bidi="en-US"/>
          <w:i w:val="0"/>
          <w:iCs w:val="0"/>
        </w:rPr>
        <w:t xml:space="preserve">No. </w:t>
      </w:r>
      <w:r>
        <w:rPr>
          <w:rStyle w:val="CharStyle10"/>
          <w:i w:val="0"/>
          <w:iCs w:val="0"/>
        </w:rPr>
        <w:t>2, Desember 2019).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98" w:line="210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kerja PWGT, (2017-2022).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95" w:line="210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Poerwadarminta, WJS. </w:t>
      </w:r>
      <w:r>
        <w:rPr>
          <w:rStyle w:val="CharStyle13"/>
        </w:rPr>
        <w:t>Kamus Umum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Balai Pustaka, 1986).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93" w:line="339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Pr, E.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Martasudjita dan Karl Edmund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Prier, </w:t>
      </w:r>
      <w:r>
        <w:rPr>
          <w:rStyle w:val="CharStyle13"/>
        </w:rPr>
        <w:t xml:space="preserve">Musik Gereja Zaman Sekarang,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(Yogyakarta: Pusat Musik Liturgi, 1998).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/>
        <w:ind w:left="1300" w:right="0" w:hanging="1300"/>
      </w:pPr>
      <w:r>
        <w:rPr>
          <w:rStyle w:val="CharStyle10"/>
          <w:i w:val="0"/>
          <w:iCs w:val="0"/>
        </w:rPr>
        <w:t xml:space="preserve">Pradani, Dwiki Akbar,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Kegiatan Pembelajaran Keterampilan Bermain Alat Musik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Keyboard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Dasar Bagi Anak Akustik Di Sekolah</w:t>
      </w:r>
      <w:r>
        <w:rPr>
          <w:rStyle w:val="CharStyle10"/>
          <w:i w:val="0"/>
          <w:iCs w:val="0"/>
        </w:rPr>
        <w:t xml:space="preserve"> (Skripsi, Fakultas Ilmu Pendidikan Universitas Negeri Yogyakarta 2017).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68" w:line="323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Prianto, Virda Rizki, </w:t>
      </w:r>
      <w:r>
        <w:rPr>
          <w:rStyle w:val="CharStyle13"/>
        </w:rPr>
        <w:t xml:space="preserve">Hubungan Ibu dengan Perkembangan Anak Usia Prasekolah,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(Skripsi, Program Studi SI Keperawatan Insan Cendekia Medika Jombang Sekolah Tinggi Ilmu Kesehatan, 2017).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339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Prier SJ.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Karl Edmund,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Paul Widiawan, </w:t>
      </w:r>
      <w:r>
        <w:rPr>
          <w:rStyle w:val="CharStyle13"/>
        </w:rPr>
        <w:t>Roda musik liturgi: Panduan untuk Para Petugas Musik;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(Pusat Musik Liturgi: Yogyakarta, 2011).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28" w:line="210" w:lineRule="exact"/>
        <w:ind w:left="1320" w:right="0" w:hanging="1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Prier SJ. Karl Edmund, </w:t>
      </w:r>
      <w:r>
        <w:rPr>
          <w:rStyle w:val="CharStyle13"/>
        </w:rPr>
        <w:t>Kamus Musik</w:t>
      </w:r>
      <w:r>
        <w:rPr>
          <w:rStyle w:val="CharStyle13"/>
          <w:lang w:val="en-US" w:eastAsia="en-US" w:bidi="en-US"/>
        </w:rPr>
        <w:t>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(Yogyakarta: Pusat Musik Liturgi, 2018).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line="308" w:lineRule="exact"/>
        <w:ind w:left="1320" w:right="0" w:hanging="1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Prier SJ.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Karl Edmund, </w:t>
      </w:r>
      <w:r>
        <w:rPr>
          <w:rStyle w:val="CharStyle13"/>
        </w:rPr>
        <w:t>Panduan Musik Litrugi,{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Pusat Musik Liturgi, 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308" w:lineRule="exact"/>
        <w:ind w:left="1320" w:right="0" w:hanging="1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Lawrenece o. </w:t>
      </w:r>
      <w:r>
        <w:rPr>
          <w:rStyle w:val="CharStyle13"/>
        </w:rPr>
        <w:t>Pelayanan Kepada Anak-Anak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Ministry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Resources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Library,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90" w:line="210" w:lineRule="exact"/>
        <w:ind w:left="1320" w:right="0" w:hanging="1320"/>
      </w:pPr>
      <w:r>
        <w:rPr>
          <w:rStyle w:val="CharStyle10"/>
          <w:i w:val="0"/>
          <w:iCs w:val="0"/>
        </w:rPr>
        <w:t xml:space="preserve">Riduwan,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Skala Pengukuran Variabel-Variabel Penelitian,</w:t>
      </w:r>
      <w:r>
        <w:rPr>
          <w:rStyle w:val="CharStyle10"/>
          <w:i w:val="0"/>
          <w:iCs w:val="0"/>
        </w:rPr>
        <w:t xml:space="preserve"> (Alfabeta 2012), 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99" w:line="210" w:lineRule="exact"/>
        <w:ind w:left="1320" w:right="0" w:hanging="1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Schnase, Robert,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5 </w:t>
      </w:r>
      <w:r>
        <w:rPr>
          <w:rStyle w:val="CharStyle13"/>
        </w:rPr>
        <w:t>Ciri Jemaat Yang Bertumbuh,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Gadum Mas, 2015).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4" w:line="323" w:lineRule="exact"/>
        <w:ind w:left="1320" w:right="0" w:hanging="1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Setiawati, Sulis, Penggunaan Kamus Besar Bahasa Indonesia (KBBI), </w:t>
      </w:r>
      <w:r>
        <w:rPr>
          <w:rStyle w:val="CharStyle13"/>
        </w:rPr>
        <w:t>Jurnal Penelitian Bahasa dan Sastra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1, (Mei 2017).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0"/>
        <w:ind w:left="1320" w:right="0" w:hanging="1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 D. Guna </w:t>
      </w:r>
      <w:r>
        <w:rPr>
          <w:rStyle w:val="CharStyle13"/>
        </w:rPr>
        <w:t>Psikologi Perkembangan Anak dan Remaja,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Oakarta: Gunung Mulia, 2008).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7" w:line="331" w:lineRule="exact"/>
        <w:ind w:left="1320" w:right="0" w:hanging="1320"/>
      </w:pPr>
      <w:r>
        <w:rPr>
          <w:rStyle w:val="CharStyle10"/>
          <w:i w:val="0"/>
          <w:iCs w:val="0"/>
        </w:rPr>
        <w:t xml:space="preserve">Sitepu, Febriyani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Penggunaan Software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Guitar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 untuk Meningkatkan Kemampuan Bermain Gitar Melodi di Gereja Gekari Tesalonika Bandung,</w:t>
      </w:r>
      <w:r>
        <w:rPr>
          <w:rStyle w:val="CharStyle10"/>
          <w:i w:val="0"/>
          <w:iCs w:val="0"/>
        </w:rPr>
        <w:t xml:space="preserve"> (Skripsi, Universitas Pendidikan Indonesia, 2017).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7" w:line="210" w:lineRule="exact"/>
        <w:ind w:left="1320" w:right="0" w:hanging="1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3"/>
        </w:rPr>
        <w:t>Belajar dan Pembelajaran,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(Kediri: Universitas Nusantara Kediri, 2010).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83" w:line="339" w:lineRule="exact"/>
        <w:ind w:left="1320" w:right="0" w:hanging="1320"/>
      </w:pPr>
      <w:r>
        <w:rPr>
          <w:rStyle w:val="CharStyle10"/>
          <w:i w:val="0"/>
          <w:iCs w:val="0"/>
        </w:rPr>
        <w:t xml:space="preserve">Sugiyono,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dan Kualitatif dan R&amp;D,</w:t>
      </w:r>
      <w:r>
        <w:rPr>
          <w:rStyle w:val="CharStyle10"/>
          <w:i w:val="0"/>
          <w:iCs w:val="0"/>
        </w:rPr>
        <w:t xml:space="preserve"> (Bandung: Alfabeta, 2009).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90" w:line="210" w:lineRule="exact"/>
        <w:ind w:left="1320" w:right="0" w:hanging="1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Supariasa, </w:t>
      </w:r>
      <w:r>
        <w:rPr>
          <w:rStyle w:val="CharStyle13"/>
        </w:rPr>
        <w:t>Penilaian Status Gizi,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(Penerbit Buku Kedokteran EGC, 2013).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03" w:line="210" w:lineRule="exact"/>
        <w:ind w:left="1320" w:right="0" w:hanging="1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Syafiq,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Muhammad, </w:t>
      </w:r>
      <w:r>
        <w:rPr>
          <w:rStyle w:val="CharStyle13"/>
        </w:rPr>
        <w:t>Ensiklopedia Musik Klasik,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Adicita, 2003).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0" w:line="339" w:lineRule="exact"/>
        <w:ind w:left="1320" w:right="0" w:hanging="1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Syarsono dan Ana Retnoningsih, </w:t>
      </w:r>
      <w:r>
        <w:rPr>
          <w:rStyle w:val="CharStyle13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(Semarang: Widya Karya, 2009).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339" w:lineRule="exact"/>
        <w:ind w:left="1320" w:right="0" w:hanging="1320"/>
      </w:pPr>
      <w:r>
        <w:rPr>
          <w:rStyle w:val="CharStyle10"/>
          <w:i w:val="0"/>
          <w:iCs w:val="0"/>
        </w:rPr>
        <w:t xml:space="preserve">Tampubolon,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Penelitian Tindakan Kelas Sebagai Pengembangan Profesi Pendidik dan Keilmuan,</w:t>
      </w:r>
      <w:r>
        <w:rPr>
          <w:rStyle w:val="CharStyle10"/>
          <w:i w:val="0"/>
          <w:iCs w:val="0"/>
        </w:rPr>
        <w:t xml:space="preserve"> (Jakarta: Erlangga, 2014).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6" w:line="339" w:lineRule="exact"/>
        <w:ind w:left="1320" w:right="0" w:hanging="1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 Pembina dan Pengembangan Bahasa, </w:t>
      </w:r>
      <w:r>
        <w:rPr>
          <w:rStyle w:val="CharStyle13"/>
        </w:rPr>
        <w:t>Kamus Terbaru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(Surabaya: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Reality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Publisher, 2008).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1320" w:right="0" w:hanging="1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Penyususn Kamus Pusat Pembinaan dan Pengembangan Bahasa Departemen Pendidikan dan Kebudayaan, </w:t>
      </w:r>
      <w:r>
        <w:rPr>
          <w:rStyle w:val="CharStyle13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Balai Pustaka, 1990, cet. 3), 602.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8" w:line="210" w:lineRule="exact"/>
        <w:ind w:left="1300" w:right="0" w:hanging="1300"/>
      </w:pPr>
      <w:r>
        <w:rPr>
          <w:rStyle w:val="CharStyle10"/>
          <w:i w:val="0"/>
          <w:iCs w:val="0"/>
        </w:rPr>
        <w:t xml:space="preserve">Trianto,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Panduan Lengkap Penelitian Tindakan Kelas:Teori dan Praktik.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4" w:line="308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Ulam, Khairul, </w:t>
      </w:r>
      <w:r>
        <w:rPr>
          <w:rStyle w:val="CharStyle13"/>
        </w:rPr>
        <w:t>Makna Musik Gereja Terhadap Religiustitas Jemaat Umat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(Skripsi, Prodi Studi agama-agama Universitas Islam Negeri Syarif Hidayatullah Jakarta 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16" w:lineRule="exact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Undang-undang Republik Indonesia nomor 20 tahun</w:t>
      </w:r>
      <w:r>
        <w:rPr>
          <w:rStyle w:val="CharStyle10"/>
          <w:i w:val="0"/>
          <w:iCs w:val="0"/>
        </w:rPr>
        <w:t xml:space="preserve"> 2</w:t>
      </w:r>
      <w:r>
        <w:rPr>
          <w:lang w:val="id-ID" w:eastAsia="id-ID" w:bidi="id-ID"/>
          <w:w w:val="100"/>
          <w:spacing w:val="0"/>
          <w:color w:val="000000"/>
          <w:position w:val="0"/>
        </w:rPr>
        <w:t>003 Tentang Sistem Pendidikan Nasional,</w:t>
      </w:r>
      <w:r>
        <w:rPr>
          <w:rStyle w:val="CharStyle10"/>
          <w:i w:val="0"/>
          <w:iCs w:val="0"/>
        </w:rPr>
        <w:t xml:space="preserve"> (Yogyakarta: Media Abadi, 2005).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85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dengan Ibu. Asdalika Mangesak, </w:t>
      </w:r>
      <w:r>
        <w:rPr>
          <w:rStyle w:val="CharStyle24"/>
        </w:rPr>
        <w:t xml:space="preserve">24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April </w:t>
      </w:r>
      <w:r>
        <w:rPr>
          <w:rStyle w:val="CharStyle24"/>
        </w:rPr>
        <w:t xml:space="preserve">2022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dengan Ibu. Lheny Mangalik, </w:t>
      </w:r>
      <w:r>
        <w:rPr>
          <w:rStyle w:val="CharStyle24"/>
        </w:rPr>
        <w:t xml:space="preserve">24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April </w:t>
      </w:r>
      <w:r>
        <w:rPr>
          <w:rStyle w:val="CharStyle24"/>
        </w:rPr>
        <w:t xml:space="preserve">2022 Wawancara dengan pdt. Sujenta Pongtuluran 24 Mei 2022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dengan Pdt. Sujenta Pongtuluran, </w:t>
      </w:r>
      <w:r>
        <w:rPr>
          <w:rStyle w:val="CharStyle24"/>
        </w:rPr>
        <w:t xml:space="preserve">24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April </w:t>
      </w:r>
      <w:r>
        <w:rPr>
          <w:rStyle w:val="CharStyle24"/>
        </w:rPr>
        <w:t xml:space="preserve">2022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wawancara dengan Pdt. Sujenta Pongtuluran, Ibu Asdalika Mangesak, dan Ibu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/>
        <w:ind w:left="1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Lheny Mangalik, 24 April 2022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85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dengan Rista 21 Mei, 2022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85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dengan Wydia (salah satu aanak yang diberikan pembelajaran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/>
        <w:ind w:left="13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keyboard),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4 Mei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85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Hizkia (salah satu aanak yang diberikan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keyboard),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7 Mei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178" w:line="220" w:lineRule="exact"/>
        <w:ind w:left="1300" w:right="0"/>
      </w:pPr>
      <w:r>
        <w:rPr>
          <w:lang w:val="id-ID" w:eastAsia="id-ID" w:bidi="id-ID"/>
          <w:w w:val="100"/>
          <w:color w:val="000000"/>
          <w:position w:val="0"/>
        </w:rPr>
        <w:t>2022</w:t>
      </w:r>
      <w:r>
        <w:rPr>
          <w:rStyle w:val="CharStyle29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339" w:lineRule="exact"/>
        <w:ind w:left="1300" w:right="0" w:hanging="1300"/>
      </w:pPr>
      <w:r>
        <w:rPr>
          <w:rStyle w:val="CharStyle10"/>
          <w:i w:val="0"/>
          <w:iCs w:val="0"/>
        </w:rPr>
        <w:t xml:space="preserve">Wina, Sanjaya,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Strategi Pembelajaran Berorientasi Standar Proses pendidikan</w:t>
      </w:r>
      <w:r>
        <w:rPr>
          <w:rStyle w:val="CharStyle10"/>
          <w:i w:val="0"/>
          <w:iCs w:val="0"/>
        </w:rPr>
        <w:t xml:space="preserve"> (Jakarta: Kencana, 2014).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0"/>
        <w:ind w:left="1300" w:right="0" w:hanging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Yamaha </w:t>
      </w:r>
      <w:r>
        <w:rPr>
          <w:rStyle w:val="CharStyle13"/>
        </w:rPr>
        <w:t>PSR-S970/S770-Panduan Untuk Pemilik,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PT. Yamaha Musik Indonesia, 2015).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331" w:lineRule="exact"/>
        <w:ind w:left="1300" w:right="0" w:hanging="1300"/>
      </w:pPr>
      <w:r>
        <w:rPr>
          <w:rStyle w:val="CharStyle10"/>
          <w:i w:val="0"/>
          <w:iCs w:val="0"/>
        </w:rPr>
        <w:t xml:space="preserve">Yusuf, Muri,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Kuantitatif, kualitatif dan Penelitian Gabungan,</w:t>
      </w:r>
      <w:r>
        <w:rPr>
          <w:rStyle w:val="CharStyle10"/>
          <w:i w:val="0"/>
          <w:iCs w:val="0"/>
        </w:rPr>
        <w:t xml:space="preserve"> (Jakarta: Prenademedia Group, 2014).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1300" w:right="0" w:hanging="1300"/>
      </w:pPr>
      <w:r>
        <w:rPr>
          <w:rStyle w:val="CharStyle10"/>
          <w:i w:val="0"/>
          <w:iCs w:val="0"/>
        </w:rPr>
        <w:t xml:space="preserve">Zainal, Aqib,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Model-model, Media dan Strategi Pembelajaran Kontekstual,</w:t>
      </w:r>
      <w:r>
        <w:rPr>
          <w:rStyle w:val="CharStyle10"/>
          <w:i w:val="0"/>
          <w:iCs w:val="0"/>
        </w:rPr>
        <w:t xml:space="preserve"> (Bandung: Yrama Widya, 2013).</w:t>
      </w:r>
    </w:p>
    <w:sectPr>
      <w:footerReference w:type="default" r:id="rId6"/>
      <w:pgSz w:w="12240" w:h="15840"/>
      <w:pgMar w:top="1331" w:left="1276" w:right="2123" w:bottom="156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7.9pt;margin-top:747.75pt;width:14.65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111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13">
    <w:name w:val="Body text (2) + Italic"/>
    <w:basedOn w:val="CharStyle12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16">
    <w:name w:val="Body text (4) + 9.5 pt,Not Italic"/>
    <w:basedOn w:val="CharStyle15"/>
    <w:rPr>
      <w:lang w:val="en-US" w:eastAsia="en-US" w:bidi="en-US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character" w:customStyle="1" w:styleId="CharStyle19">
    <w:name w:val="Body text (5) + 9 pt,Italic"/>
    <w:basedOn w:val="CharStyle18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21">
    <w:name w:val="Heading #2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22">
    <w:name w:val="Heading #2 + 11.5 pt,Bold"/>
    <w:basedOn w:val="CharStyle21"/>
    <w:rPr>
      <w:lang w:val="id-ID" w:eastAsia="id-ID" w:bidi="id-ID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23">
    <w:name w:val="Body text (2) + 9 pt,Bold,Scale 30%"/>
    <w:basedOn w:val="CharStyle12"/>
    <w:rPr>
      <w:lang w:val="id-ID" w:eastAsia="id-ID" w:bidi="id-ID"/>
      <w:b/>
      <w:bCs/>
      <w:sz w:val="18"/>
      <w:szCs w:val="18"/>
      <w:w w:val="30"/>
      <w:spacing w:val="0"/>
      <w:color w:val="000000"/>
      <w:position w:val="0"/>
    </w:rPr>
  </w:style>
  <w:style w:type="character" w:customStyle="1" w:styleId="CharStyle24">
    <w:name w:val="Body text (2) + Trebuchet MS,9.5 pt"/>
    <w:basedOn w:val="CharStyle12"/>
    <w:rPr>
      <w:lang w:val="id-ID" w:eastAsia="id-ID" w:bidi="id-ID"/>
      <w:sz w:val="19"/>
      <w:szCs w:val="19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26">
    <w:name w:val="Body text (6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28">
    <w:name w:val="Body text (7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  <w:spacing w:val="0"/>
    </w:rPr>
  </w:style>
  <w:style w:type="character" w:customStyle="1" w:styleId="CharStyle29">
    <w:name w:val="Body text (7) + 7 pt"/>
    <w:basedOn w:val="CharStyle28"/>
    <w:rPr>
      <w:lang w:val="id-ID" w:eastAsia="id-ID" w:bidi="id-ID"/>
      <w:sz w:val="14"/>
      <w:szCs w:val="14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960" w:line="0" w:lineRule="exact"/>
    </w:pPr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  <w:spacing w:val="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960" w:after="180" w:line="323" w:lineRule="exact"/>
      <w:ind w:hanging="1340"/>
    </w:pPr>
    <w:rPr>
      <w:b w:val="0"/>
      <w:bCs w:val="0"/>
      <w:i/>
      <w:iCs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jc w:val="both"/>
      <w:spacing w:before="180" w:after="180" w:line="331" w:lineRule="exact"/>
      <w:ind w:hanging="13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right"/>
      <w:spacing w:line="277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jc w:val="both"/>
      <w:spacing w:after="180" w:line="277" w:lineRule="exact"/>
      <w:ind w:hanging="13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paragraph" w:customStyle="1" w:styleId="Style20">
    <w:name w:val="Heading #2"/>
    <w:basedOn w:val="Normal"/>
    <w:link w:val="CharStyle21"/>
    <w:pPr>
      <w:widowControl w:val="0"/>
      <w:shd w:val="clear" w:color="auto" w:fill="FFFFFF"/>
      <w:outlineLvl w:val="1"/>
      <w:spacing w:after="300" w:line="293" w:lineRule="exact"/>
    </w:pPr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25">
    <w:name w:val="Body text (6)"/>
    <w:basedOn w:val="Normal"/>
    <w:link w:val="CharStyle26"/>
    <w:pPr>
      <w:widowControl w:val="0"/>
      <w:shd w:val="clear" w:color="auto" w:fill="FFFFFF"/>
      <w:jc w:val="both"/>
      <w:spacing w:line="285" w:lineRule="exact"/>
      <w:ind w:hanging="13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27">
    <w:name w:val="Body text (7)"/>
    <w:basedOn w:val="Normal"/>
    <w:link w:val="CharStyle28"/>
    <w:pPr>
      <w:widowControl w:val="0"/>
      <w:shd w:val="clear" w:color="auto" w:fill="FFFFFF"/>
      <w:jc w:val="both"/>
      <w:spacing w:after="300" w:line="0" w:lineRule="exact"/>
      <w:ind w:hanging="13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