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04" w:line="260" w:lineRule="exact"/>
        <w:ind w:left="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AbinenoJ.L. Ch., </w:t>
      </w:r>
      <w:r>
        <w:rPr>
          <w:rStyle w:val="CharStyle7"/>
        </w:rPr>
        <w:t>Penatua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rStyle w:val="CharStyle7"/>
        </w:rPr>
        <w:t>Jabatannya dan Pekerjaannya,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Andra Kassa, Pengantar KeDalam Administrasi Gereja, Rante Ayaun: Media 1990.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Moeliono Dkk, </w:t>
      </w:r>
      <w:r>
        <w:rPr>
          <w:rStyle w:val="CharStyle7"/>
        </w:rPr>
        <w:t>Kamus Lengkap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Depdikbud Balai Pustaka, 1987.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Moelionodkk, Kamus Lengkap Bahasa Indonesia, Jakarta: Depdikbud Balai Pustaka, 1989.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Atiyanto Dadi Sri, </w:t>
      </w:r>
      <w:r>
        <w:rPr>
          <w:rStyle w:val="CharStyle7"/>
        </w:rPr>
        <w:t>Sekelimut tentang Diaken,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Lembang Literatur Baptis, 1994.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Pekerja Sinode Gereja Toraja </w:t>
      </w:r>
      <w:r>
        <w:rPr>
          <w:rStyle w:val="CharStyle7"/>
        </w:rPr>
        <w:t>,Tata Gereja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Rantepao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BPMS GerejaToraja, </w:t>
      </w:r>
      <w:r>
        <w:rPr>
          <w:rStyle w:val="CharStyle7"/>
        </w:rPr>
        <w:t>Tata GerejaToraja,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Rnatepao: PT, Sulo,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BPS Gereja Toraja, </w:t>
      </w:r>
      <w:r>
        <w:rPr>
          <w:rStyle w:val="CharStyle7"/>
        </w:rPr>
        <w:t>Tata Gereja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Rantepao: GT, 1989.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Bruce Milne, </w:t>
      </w:r>
      <w:r>
        <w:rPr>
          <w:rStyle w:val="CharStyle7"/>
        </w:rPr>
        <w:t>Mengenali Kebenaran,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Collin’s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Gerald dan Edward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G. Paorugia, KamusTeologi, Jakarta: Kanisius,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Dr. Charles C. Ryrie, </w:t>
      </w:r>
      <w:r>
        <w:rPr>
          <w:rStyle w:val="CharStyle7"/>
        </w:rPr>
        <w:t>Teologi Dasar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1991.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Ensiklopedi Alkitab Masa Kini Jilid II Jakarta: Yayasan Komunikasi Bina Kasih/OMF,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/>
      </w:pPr>
      <w:r>
        <w:rPr>
          <w:rStyle w:val="CharStyle10"/>
          <w:i w:val="0"/>
          <w:iCs w:val="0"/>
        </w:rPr>
        <w:t xml:space="preserve">Ensiklopedia, </w:t>
      </w:r>
      <w:r>
        <w:rPr>
          <w:lang w:val="id-ID" w:eastAsia="id-ID" w:bidi="id-ID"/>
          <w:w w:val="100"/>
          <w:color w:val="000000"/>
          <w:position w:val="0"/>
        </w:rPr>
        <w:t>Alkitab Masa Kini,</w:t>
      </w:r>
      <w:r>
        <w:rPr>
          <w:rStyle w:val="CharStyle10"/>
          <w:i w:val="0"/>
          <w:iCs w:val="0"/>
        </w:rPr>
        <w:t xml:space="preserve">Jakarta: </w:t>
      </w:r>
      <w:r>
        <w:rPr>
          <w:lang w:val="id-ID" w:eastAsia="id-ID" w:bidi="id-ID"/>
          <w:w w:val="100"/>
          <w:color w:val="000000"/>
          <w:position w:val="0"/>
        </w:rPr>
        <w:t>Yayasan Komunikasi Bina Kasih/OMF,</w:t>
      </w:r>
      <w:r>
        <w:rPr>
          <w:rStyle w:val="CharStyle10"/>
          <w:i w:val="0"/>
          <w:iCs w:val="0"/>
        </w:rPr>
        <w:t xml:space="preserve">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0" w:lineRule="exact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 Harun, </w:t>
      </w:r>
      <w:r>
        <w:rPr>
          <w:rStyle w:val="CharStyle7"/>
        </w:rPr>
        <w:t>Iman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0" w:lineRule="exact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Hennkton Napel, Kamus Teologi Inggris-Indonesia, Jakatra: BPK Gunung Mulia, 1990.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L. Ch, Abineno, </w:t>
      </w:r>
      <w:r>
        <w:rPr>
          <w:rStyle w:val="CharStyle7"/>
        </w:rPr>
        <w:t>Penatua,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1993,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9" w:lineRule="exact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L, Ch, Abineno, </w:t>
      </w:r>
      <w:r>
        <w:rPr>
          <w:rStyle w:val="CharStyle7"/>
        </w:rPr>
        <w:t>Penatua, Jabatannya dan Pekerjaannya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PT BPK Gunung Mulia,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9" w:lineRule="exact"/>
        <w:ind w:left="1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Echlos dan Hasan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Shaddil, Kamus Lengkap Bahasa Indonesia, Jakarta: Gramedia, 1983.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Besar Bahasa Indonesia, Jakarta: Depdikdud, BalaiPustaka, 1989.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Oktovianus Petrus, </w:t>
      </w:r>
      <w:r>
        <w:rPr>
          <w:rStyle w:val="CharStyle7"/>
        </w:rPr>
        <w:t>Manejemen kepemimpinan menurut wahyu allah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1987.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PGI, Panduan Bagi Aktivitas Gereja Binaraga: PGI, 1996.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Ra’bungan Jhandri, Wawancara, Buttu Lepong, Rabu, 12 November 2019 Rande Gau* Sofar, Wawancara, Buttu Lepong, 20 November 2019 Sariri Marthen, Wawancara, Buttu Lepong, 23 Maret 2019 Sriyanti Desi, Wawancara, Buttu Lepong, 24 November 2019</w:t>
      </w:r>
    </w:p>
    <w:sectPr>
      <w:footnotePr>
        <w:pos w:val="pageBottom"/>
        <w:numFmt w:val="decimal"/>
        <w:numRestart w:val="continuous"/>
      </w:footnotePr>
      <w:pgSz w:w="12240" w:h="15840"/>
      <w:pgMar w:top="1783" w:left="2246" w:right="2555" w:bottom="217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780" w:line="414" w:lineRule="exact"/>
      <w:ind w:hanging="14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446" w:lineRule="exact"/>
      <w:ind w:hanging="14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