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535" w:line="260" w:lineRule="exact"/>
        <w:ind w:left="29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52" w:line="240" w:lineRule="exact"/>
        <w:ind w:left="1180" w:right="0" w:hanging="11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Buku-buku Referensi: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Abdullah, Irwan, </w:t>
      </w:r>
      <w:r>
        <w:rPr>
          <w:rStyle w:val="CharStyle14"/>
        </w:rPr>
        <w:t>Konstruksi dan Reproduksi Kebudayaan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Pustaka Pelajar, 2006).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Achsin, Amir, </w:t>
      </w:r>
      <w:r>
        <w:rPr>
          <w:rStyle w:val="CharStyle14"/>
        </w:rPr>
        <w:t>Toraja: Tongkonan and Funeral Ceremony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(Ujung Pandang: Ananda Graphia Press, 1991).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Aliansi Masyarakat Adat (AMA) Toraja, </w:t>
      </w:r>
      <w:r>
        <w:rPr>
          <w:rStyle w:val="CharStyle14"/>
        </w:rPr>
        <w:t>Sejarah Tana Toraja Tondok Lepongan Bulan Tana Malari Alio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(belum dipublikasikan), Laporan AMA Toraja (Bogor, 2006).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Andilolo, Tandi Roma, </w:t>
      </w:r>
      <w:r>
        <w:rPr>
          <w:rStyle w:val="CharStyle14"/>
        </w:rPr>
        <w:t>Pembantaian Hewan dan lmplikasi Sosialnya di Daerah Tana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skripsi sarjana (Makassar: Fakultas Ilmu Sosial Politik Universitas Hasanuddin, 1968).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Aritonang, Jan S., </w:t>
      </w:r>
      <w:r>
        <w:rPr>
          <w:rStyle w:val="CharStyle14"/>
        </w:rPr>
        <w:t>Berbagai Aliran di Dalam dan di Sekitar Gereja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PT BPK Gunung Mulia, 1996).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Babbie, Earl, </w:t>
      </w:r>
      <w:r>
        <w:rPr>
          <w:rStyle w:val="CharStyle14"/>
        </w:rPr>
        <w:t>The Practice of Social Research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(Wadsworth: California, 1989).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6.95pt;margin-top:23.2pt;width:4.05pt;height:6.5pt;z-index:-125829376;mso-wrap-distance-left:86.6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 Pengendalian Dampak Lingkungan Daerah Kabupaten Tana Toraja dan Pusat Pengembangan dan Pengelolaan DAS LPPM Universitas Hasanuddin, </w:t>
      </w:r>
      <w:r>
        <w:rPr>
          <w:rStyle w:val="CharStyle14"/>
        </w:rPr>
        <w:t>Studi Potensi dan Peluang Pemanfaatan Hukum Adat bagi Pengelolaan dan Pengendalian Dampak Lingkungan di Kabupaten Tana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Laporan Akhir (Makassar, 2001).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1180" w:right="0" w:hanging="1180"/>
      </w:pPr>
      <w:r>
        <w:rPr>
          <w:rStyle w:val="CharStyle17"/>
          <w:i w:val="0"/>
          <w:iCs w:val="0"/>
        </w:rPr>
        <w:t xml:space="preserve">Berger, Peter L., dan Thomas Luckmann,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Tafsir Sosial atas Kenyataan: Risalah tentang Sosiologi Pengetahuan</w:t>
      </w:r>
      <w:r>
        <w:rPr>
          <w:rStyle w:val="CharStyle17"/>
          <w:i w:val="0"/>
          <w:iCs w:val="0"/>
        </w:rPr>
        <w:t xml:space="preserve"> (Jakarta: LP3ES, 1990).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Bigalke, Terance W., </w:t>
      </w:r>
      <w:r>
        <w:rPr>
          <w:rStyle w:val="CharStyle14"/>
        </w:rPr>
        <w:t xml:space="preserve">Tana Toraja: A Social History on an Indonesian People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(Singapore: Singapore University Press, 2005).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61.9pt;margin-top:24.4pt;width:32.15pt;height:105.1pt;z-index:-125829375;mso-wrap-distance-left:71.6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Black, James A. dan Dean J. Champion, </w:t>
      </w:r>
      <w:r>
        <w:rPr>
          <w:rStyle w:val="CharStyle14"/>
        </w:rPr>
        <w:t xml:space="preserve">Metode dan Masalah Penelitian Sosial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(Bandung: PT Eresco, 1992).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Calhoun, Craig (Ed.), </w:t>
      </w:r>
      <w:r>
        <w:rPr>
          <w:rStyle w:val="CharStyle14"/>
        </w:rPr>
        <w:t>Dictionary of the Social Sciences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(Oxford University Press,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/>
        <w:ind w:left="118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2002</w:t>
      </w:r>
      <w:r>
        <w:rPr>
          <w:rStyle w:val="CharStyle20"/>
        </w:rPr>
        <w:t>).</w:t>
      </w:r>
      <w:bookmarkEnd w:id="1"/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Foucault, Michel, </w:t>
      </w:r>
      <w:r>
        <w:rPr>
          <w:rStyle w:val="CharStyle14"/>
        </w:rPr>
        <w:t>Pengelahuan dan Metode: Karya-karya Periling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Jalasutra, 2003).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Geertz, Clifford, </w:t>
      </w:r>
      <w:r>
        <w:rPr>
          <w:rStyle w:val="CharStyle14"/>
        </w:rPr>
        <w:t>Kebudayaan dan Agama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Kanisius, 1992).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rStyle w:val="CharStyle17"/>
          <w:i w:val="0"/>
          <w:iCs w:val="0"/>
        </w:rPr>
        <w:t xml:space="preserve">Giddens, Anthony,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Modernity and Self-Identity: Self and Society in the Late Modern Age</w:t>
      </w:r>
      <w:r>
        <w:rPr>
          <w:rStyle w:val="CharStyle17"/>
          <w:i w:val="0"/>
          <w:iCs w:val="0"/>
        </w:rPr>
        <w:t xml:space="preserve"> (UK: Polity Press, 1991).</w:t>
      </w:r>
    </w:p>
    <w:p>
      <w:pPr>
        <w:pStyle w:val="Style12"/>
        <w:tabs>
          <w:tab w:leader="hyphen" w:pos="764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, Anthony, “Institutional Reflexivity and Modernity”, di dalam </w:t>
      </w:r>
      <w:r>
        <w:rPr>
          <w:rStyle w:val="CharStyle14"/>
        </w:rPr>
        <w:t>The Polity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1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Reader in Social Theory</w:t>
      </w:r>
      <w:r>
        <w:rPr>
          <w:rStyle w:val="CharStyle17"/>
          <w:i w:val="0"/>
          <w:iCs w:val="0"/>
        </w:rPr>
        <w:t xml:space="preserve"> (Polity Press: 1994).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Haralambos, Michael dan Martin Holbom, </w:t>
      </w:r>
      <w:r>
        <w:rPr>
          <w:rStyle w:val="CharStyle14"/>
        </w:rPr>
        <w:t xml:space="preserve">Sociology: Themes and Perspectives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(London: Collins Educational, 1995).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Hollan, Douglas W. dan Jane C. Wellenkamp, </w:t>
      </w:r>
      <w:r>
        <w:rPr>
          <w:rStyle w:val="CharStyle14"/>
        </w:rPr>
        <w:t>Contentment and Suffering: Culture and Experience in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(New York: Columbia University Press, 1994).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Hutabarat-Lebang, Ery, “Identitas Komunitas Kristen Toraja dalam Tantangan”, di dalam Martin L. Sinaga, </w:t>
      </w:r>
      <w:r>
        <w:rPr>
          <w:rStyle w:val="CharStyle14"/>
        </w:rPr>
        <w:t>et. 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(Eds.), </w:t>
      </w:r>
      <w:r>
        <w:rPr>
          <w:rStyle w:val="CharStyle14"/>
        </w:rPr>
        <w:t>Misiologi Kontekstual: Th. Kobong dan Pergulatan Kekristenan Lokal di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(Unit Publikasi dan Informasi STT Jakarta bekeija sama dengan Gereja Toraja, 2004).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rStyle w:val="CharStyle17"/>
          <w:i w:val="0"/>
          <w:iCs w:val="0"/>
        </w:rPr>
        <w:t xml:space="preserve">Kabanga’, Andarias,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Manusia Mati Seutuhnya: Suatu Kajian Antropologi Kristen </w:t>
      </w:r>
      <w:r>
        <w:rPr>
          <w:rStyle w:val="CharStyle17"/>
          <w:i w:val="0"/>
          <w:iCs w:val="0"/>
        </w:rPr>
        <w:t>(Yogyakarta: Media Pressindo, 2002).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Theodorus, </w:t>
      </w:r>
      <w:r>
        <w:rPr>
          <w:rStyle w:val="CharStyle14"/>
        </w:rPr>
        <w:t>Evangelium und 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(sedang diterjemahkan), disertasi doktor (Hamburg: Hamburg University, Faculty of Theology, 1988).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42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Kuper, Adam, </w:t>
      </w:r>
      <w:r>
        <w:rPr>
          <w:rStyle w:val="CharStyle14"/>
        </w:rPr>
        <w:t>Pokok dan Tokoh Antropologi: Mashab Inggris Modern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Penerbit Bhiatara Niaga Media, 1996).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1180" w:right="0" w:hanging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Laurer, Robert H., </w:t>
      </w:r>
      <w:r>
        <w:rPr>
          <w:rStyle w:val="CharStyle14"/>
        </w:rPr>
        <w:t>Perspektif tentang Perubahan Sosial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Bina Aksara, 1993).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42" w:lineRule="exact"/>
        <w:ind w:left="1180" w:right="0" w:hanging="1180"/>
      </w:pPr>
      <w:r>
        <w:rPr>
          <w:rStyle w:val="CharStyle17"/>
          <w:i w:val="0"/>
          <w:iCs w:val="0"/>
        </w:rPr>
        <w:t xml:space="preserve">Maunati, Yekti,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Identitas Dayak: Kornodifikasi dan Politik Kebudayaan </w:t>
      </w:r>
      <w:r>
        <w:rPr>
          <w:rStyle w:val="CharStyle17"/>
          <w:i w:val="0"/>
          <w:iCs w:val="0"/>
        </w:rPr>
        <w:t>(Yogyakarta: LKiS, 2004).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59" w:lineRule="exact"/>
        <w:ind w:left="1180" w:right="0" w:hanging="1180"/>
        <w:sectPr>
          <w:footerReference w:type="defaul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1400" w:left="1456" w:right="2901" w:bottom="1589" w:header="0" w:footer="3" w:gutter="0"/>
          <w:rtlGutter w:val="0"/>
          <w:cols w:space="720"/>
          <w:pgNumType w:start="113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McLeish, John, </w:t>
      </w:r>
      <w:r>
        <w:rPr>
          <w:rStyle w:val="CharStyle14"/>
        </w:rPr>
        <w:t>The Theory of Social Change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(New York: Schocken Books, 1969).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Lexy, </w:t>
      </w:r>
      <w:r>
        <w:rPr>
          <w:rStyle w:val="CharStyle14"/>
        </w:rPr>
        <w:t>Metodologi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PT Remaja Rosdakarya, 2001).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9" w:line="220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Nazir, Moh., </w:t>
      </w:r>
      <w:r>
        <w:rPr>
          <w:rStyle w:val="CharStyle14"/>
        </w:rPr>
        <w:t>Metode Penelitian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Ghalia Indonesia, 1988).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20" w:right="0" w:hanging="1220"/>
      </w:pPr>
      <w:r>
        <w:rPr>
          <w:rStyle w:val="CharStyle17"/>
          <w:i w:val="0"/>
          <w:iCs w:val="0"/>
        </w:rPr>
        <w:t xml:space="preserve">Nooy-Palm, Hetty,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Sa dan-Toraja: A Study of Their Social Life and Religion - Rituals of the East and West,</w:t>
      </w:r>
      <w:r>
        <w:rPr>
          <w:rStyle w:val="CharStyle17"/>
          <w:i w:val="0"/>
          <w:iCs w:val="0"/>
        </w:rPr>
        <w:t xml:space="preserve"> Volume II (Leiden: KITLV Press, 1986).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O’ Donnel, Gerard, </w:t>
      </w:r>
      <w:r>
        <w:rPr>
          <w:rStyle w:val="CharStyle14"/>
        </w:rPr>
        <w:t>Mastering Sociology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(Macmillan Education, 1986).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O’ Donnell, Mike, </w:t>
      </w:r>
      <w:r>
        <w:rPr>
          <w:rStyle w:val="CharStyle14"/>
        </w:rPr>
        <w:t>A New Introduction to Sociology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(UK: Thomas Nelson and Sons Ltd., 1992.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Osborne, Richard dan Borin Van Loon, </w:t>
      </w:r>
      <w:r>
        <w:rPr>
          <w:rStyle w:val="CharStyle14"/>
        </w:rPr>
        <w:t>Introducing Sociology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(Icon Books UK dan Totem Books USA, 2004).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Preston dan Smith, </w:t>
      </w:r>
      <w:r>
        <w:rPr>
          <w:rStyle w:val="CharStyle14"/>
        </w:rPr>
        <w:t>Sociology: A Contemporary Approach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(Allyn&amp;Bacon, 1989).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Ritzer, George, </w:t>
      </w:r>
      <w:r>
        <w:rPr>
          <w:rStyle w:val="CharStyle14"/>
        </w:rPr>
        <w:t>Sosiologi Ilmu Pengetahuan Berparadigma Ganda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PT RajaGrafindo Persada, 2002).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rStyle w:val="CharStyle17"/>
          <w:i w:val="0"/>
          <w:iCs w:val="0"/>
        </w:rPr>
        <w:t xml:space="preserve">Said, Abdul Azis,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Simbolisme Unsur Visual Rumah Tradisional Toraja dan Perubahan Aplikasinya pada Desain Modern</w:t>
      </w:r>
      <w:r>
        <w:rPr>
          <w:rStyle w:val="CharStyle17"/>
          <w:i w:val="0"/>
          <w:iCs w:val="0"/>
        </w:rPr>
        <w:t xml:space="preserve"> (Yogyakarta: Ombak, 2004).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Salombe, Comelis, “Sawerigading dalam Peradaban Suku Toraja, Sulawesi Selatan”, di dalam Mattulada, dkk (Ed.), </w:t>
      </w:r>
      <w:r>
        <w:rPr>
          <w:rStyle w:val="CharStyle14"/>
        </w:rPr>
        <w:t>Sawerigading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(Depdikbud, 1990).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220" w:right="0" w:hanging="1220"/>
      </w:pPr>
      <w:r>
        <w:rPr>
          <w:rStyle w:val="CharStyle17"/>
          <w:i w:val="0"/>
          <w:iCs w:val="0"/>
        </w:rPr>
        <w:t xml:space="preserve">Sarup, Madan,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Post-Structuralism and Postmodernism: Sebuah Pengantar Kritis </w:t>
      </w:r>
      <w:r>
        <w:rPr>
          <w:rStyle w:val="CharStyle17"/>
          <w:i w:val="0"/>
          <w:iCs w:val="0"/>
        </w:rPr>
        <w:t>(Yogyakarta: Jendela, 2003).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rStyle w:val="CharStyle17"/>
          <w:i w:val="0"/>
          <w:iCs w:val="0"/>
        </w:rPr>
        <w:t xml:space="preserve">Saragi, Tumpal P.,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Mewujudkan Otonomi Masyarakat Desa: Alternatif Pemberdayaan Desa</w:t>
      </w:r>
      <w:r>
        <w:rPr>
          <w:rStyle w:val="CharStyle17"/>
          <w:i w:val="0"/>
          <w:iCs w:val="0"/>
        </w:rPr>
        <w:t xml:space="preserve"> (Jakarta: CV. Cipruy, 2004).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rStyle w:val="CharStyle17"/>
          <w:i w:val="0"/>
          <w:iCs w:val="0"/>
        </w:rPr>
        <w:t xml:space="preserve">Seale, Clive,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Constructing Death: The Sociology of Death and Bereavement</w:t>
      </w:r>
      <w:r>
        <w:rPr>
          <w:rStyle w:val="CharStyle17"/>
          <w:i w:val="0"/>
          <w:iCs w:val="0"/>
        </w:rPr>
        <w:t xml:space="preserve"> (UK: Cambridge University Press, 1998).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Schaefer, Richard T., </w:t>
      </w:r>
      <w:r>
        <w:rPr>
          <w:rStyle w:val="CharStyle14"/>
        </w:rPr>
        <w:t>Sociology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(New York: McGraw-Hill Higher, 2003).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1220" w:right="0" w:hanging="12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Sindhunata, </w:t>
      </w:r>
      <w:r>
        <w:rPr>
          <w:rStyle w:val="CharStyle14"/>
        </w:rPr>
        <w:t>Kambing Hi tarn: Rene Girard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PT Gramedia Pustaka Utama, 2007).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220" w:right="0" w:hanging="1220"/>
        <w:sectPr>
          <w:footerReference w:type="default" r:id="rId9"/>
          <w:footerReference w:type="first" r:id="rId10"/>
          <w:footnotePr>
            <w:pos w:val="pageBottom"/>
            <w:numFmt w:val="decimal"/>
            <w:numRestart w:val="continuous"/>
          </w:footnotePr>
          <w:pgSz w:w="12240" w:h="15840"/>
          <w:pgMar w:top="1400" w:left="1456" w:right="2901" w:bottom="1589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Soekanto, Soerjono, </w:t>
      </w:r>
      <w:r>
        <w:rPr>
          <w:rStyle w:val="CharStyle14"/>
        </w:rPr>
        <w:t>Sosiologi Sualu Pengantar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PT </w:t>
      </w:r>
      <w:r>
        <w:rPr>
          <w:rStyle w:val="CharStyle21"/>
        </w:rPr>
        <w:t xml:space="preserve">RajaGrafindo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Persada, 1999).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78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Soemardjan, Selo, </w:t>
      </w:r>
      <w:r>
        <w:rPr>
          <w:rStyle w:val="CharStyle14"/>
        </w:rPr>
        <w:t>Perubahcm Sosial di Yogyakarta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Gadjah Mada University Press, 1981).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Stark, Rodney, </w:t>
      </w:r>
      <w:r>
        <w:rPr>
          <w:rStyle w:val="CharStyle14"/>
        </w:rPr>
        <w:t>Sociology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(USA: Wadsworth Publishing Company, 1985).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rStyle w:val="CharStyle17"/>
          <w:i w:val="0"/>
          <w:iCs w:val="0"/>
        </w:rPr>
        <w:t xml:space="preserve">Suryawan, 1 Ngurah,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Bali, Narasi dalam Kuasa: Politik dan Kekerasan di Bali </w:t>
      </w:r>
      <w:r>
        <w:rPr>
          <w:rStyle w:val="CharStyle17"/>
          <w:i w:val="0"/>
          <w:iCs w:val="0"/>
        </w:rPr>
        <w:t>(Yogyakarta: Ombak, 2005).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Swidler, Ann, “Cultural Power and Social Movement”, di dalam Lyn Spillman, </w:t>
      </w:r>
      <w:r>
        <w:rPr>
          <w:rStyle w:val="CharStyle14"/>
        </w:rPr>
        <w:t>Cultural Sociology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(Blackwell Publishers, 2002).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Tangdilintin, L.T., </w:t>
      </w:r>
      <w:r>
        <w:rPr>
          <w:rStyle w:val="CharStyle14"/>
        </w:rPr>
        <w:t>Toraja dan Kebudayaannya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(Tana Toraja: Yayasan Lepongan Bulan, 1981).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Sunyoto, </w:t>
      </w:r>
      <w:r>
        <w:rPr>
          <w:rStyle w:val="CharStyle14"/>
        </w:rPr>
        <w:t>Sosiologi: Sejarah, Teori dan Metodologi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CIReD, 2004).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de Loosdrecht, Anthonia A., Jan E. Muller dan Ani Kartikasari, </w:t>
      </w:r>
      <w:r>
        <w:rPr>
          <w:rStyle w:val="CharStyle14"/>
        </w:rPr>
        <w:t>Dari Benih Terkecil, Tumbuh Menjadi Pohon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rPr>
          <w:rStyle w:val="CharStyle14"/>
        </w:rPr>
        <w:t>Kisah Anton dan Alida van de Loosdrecht, Misionaris Pertama ke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(Badan Pekeija Sinode Gereja Toraja, 2005).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6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Volkman, Toby Alice, </w:t>
      </w:r>
      <w:r>
        <w:rPr>
          <w:rStyle w:val="CharStyle14"/>
        </w:rPr>
        <w:t>Feast of Honor: Ritual and Change in the Toraja Highlands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(Chicago and Urbana: University of Illinois Press, 1985).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Data Monografi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Kelurahan Buntu Barana’, 4 November 2006.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496" w:line="410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dari BPKD Tana Toraja, Bulan Oktober2006.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2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Web Site: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Adams, Kathleen M., Cultural Commoditization in Tana Toraja, Indonesia dalam </w:t>
      </w:r>
      <w:r>
        <w:rPr>
          <w:rStyle w:val="CharStyle22"/>
        </w:rPr>
        <w:t>Cultural Survival Quarterly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edisi 31 Januari 1990.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40" w:right="0"/>
      </w:pPr>
      <w:r>
        <w:rPr>
          <w:rStyle w:val="CharStyle17"/>
          <w:i w:val="0"/>
          <w:iCs w:val="0"/>
        </w:rPr>
        <w:t xml:space="preserve">Waterson, Roxana,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Contested Landscapes of Myth and History in Tana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40" w:right="0"/>
      </w:pPr>
      <w:r>
        <w:rPr>
          <w:rStyle w:val="CharStyle14"/>
        </w:rPr>
        <w:t>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fldChar w:fldCharType="begin"/>
      </w:r>
      <w:r>
        <w:rPr>
          <w:rStyle w:val="CharStyle23"/>
        </w:rPr>
        <w:instrText> HYPERLINK "http://epress.anu.edu.au/austronesians/poetic/mobi" </w:instrText>
      </w:r>
      <w:r>
        <w:fldChar w:fldCharType="separate"/>
      </w:r>
      <w:r>
        <w:rPr>
          <w:rStyle w:val="Hyperlink"/>
        </w:rPr>
        <w:t>http://epress.anu.edu.au/austronesians/poetic/mobi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le devices/ch04.html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40" w:right="0"/>
      </w:pPr>
      <w:r>
        <w:rPr>
          <w:rStyle w:val="CharStyle14"/>
        </w:rPr>
        <w:t>Toraja Religion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di dalam </w:t>
      </w:r>
      <w:r>
        <w:fldChar w:fldCharType="begin"/>
      </w:r>
      <w:r>
        <w:rPr>
          <w:rStyle w:val="CharStyle23"/>
        </w:rPr>
        <w:instrText> HYPERLINK "http://philtar.ucsm.ac.uk/encvclopedi" </w:instrText>
      </w:r>
      <w:r>
        <w:fldChar w:fldCharType="separate"/>
      </w:r>
      <w:r>
        <w:rPr>
          <w:rStyle w:val="Hyperlink"/>
        </w:rPr>
        <w:t>http://philtar.ucsm.ac.uk/encvclopedi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a/indon/torai.html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40" w:right="0"/>
      </w:pPr>
      <w:r>
        <w:rPr>
          <w:rStyle w:val="CharStyle14"/>
        </w:rPr>
        <w:t>Tana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 dalam </w:t>
      </w:r>
      <w:r>
        <w:fldChar w:fldCharType="begin"/>
      </w:r>
      <w:r>
        <w:rPr>
          <w:rStyle w:val="CharStyle23"/>
        </w:rPr>
        <w:instrText> HYPERLINK "http://en.wikipedia.org.wiki/Toraia" </w:instrText>
      </w:r>
      <w:r>
        <w:fldChar w:fldCharType="separate"/>
      </w:r>
      <w:r>
        <w:rPr>
          <w:rStyle w:val="Hyperlink"/>
        </w:rPr>
        <w:t>http://en.wikipedia.org.wiki/Toraia</w:t>
      </w:r>
      <w:r>
        <w:fldChar w:fldCharType="end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1240" w:right="0"/>
      </w:pPr>
      <w:r>
        <w:fldChar w:fldCharType="begin"/>
      </w:r>
      <w:r>
        <w:rPr>
          <w:rStyle w:val="CharStyle23"/>
        </w:rPr>
        <w:instrText> HYPERLINK "http://www.arch.nus.edu.sg/SOA/courses/cpd_courses/cpd4/rw.html" </w:instrText>
      </w:r>
      <w:r>
        <w:fldChar w:fldCharType="separate"/>
      </w:r>
      <w:r>
        <w:rPr>
          <w:rStyle w:val="Hyperlink"/>
        </w:rPr>
        <w:t>http://www.arch.nus.edu.sg/SOA/courses/cpd courses/cpd4/rw.html</w:t>
      </w:r>
      <w:r>
        <w:fldChar w:fldCharType="end"/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406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Sumber Lain: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521" w:line="421" w:lineRule="exact"/>
        <w:ind w:left="0" w:right="0" w:firstLine="0"/>
      </w:pPr>
      <w:r>
        <w:rPr>
          <w:rStyle w:val="CharStyle17"/>
          <w:i w:val="0"/>
          <w:iCs w:val="0"/>
        </w:rPr>
        <w:t xml:space="preserve">Buku Panduan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Funeral Ceremony of Helena Rambulangi (1910-2005) on 9-14 July 2005, Kamiri, Sangalla, Tana Toraja.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Tabloid KAReBA, Edisi 11 Tahun III, Minggu Keempat September 2006.</w:t>
      </w:r>
    </w:p>
    <w:sectPr>
      <w:footerReference w:type="default" r:id="rId11"/>
      <w:footnotePr>
        <w:pos w:val="pageBottom"/>
        <w:numFmt w:val="decimal"/>
        <w:numRestart w:val="continuous"/>
      </w:footnotePr>
      <w:pgSz w:w="12240" w:h="15840"/>
      <w:pgMar w:top="1400" w:left="1456" w:right="2901" w:bottom="1589" w:header="0" w:footer="3" w:gutter="0"/>
      <w:rtlGutter w:val="0"/>
      <w:cols w:space="720"/>
      <w:pgNumType w:start="116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68.25pt;margin-top:740.2pt;width:14.9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67.05pt;margin-top:734.85pt;width:14.65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67.05pt;margin-top:734.85pt;width:14.65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"/>
      <w:szCs w:val="8"/>
      <w:rFonts w:ascii="Palatino Linotype" w:eastAsia="Palatino Linotype" w:hAnsi="Palatino Linotype" w:cs="Palatino Linotype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2) + Italic"/>
    <w:basedOn w:val="CharStyle13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Body text (4) + Not Italic"/>
    <w:basedOn w:val="CharStyle1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9">
    <w:name w:val="Heading #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Heading #2 + 9 pt,Bold"/>
    <w:basedOn w:val="CharStyle19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Body text (2) + 10.5 pt"/>
    <w:basedOn w:val="CharStyle13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22">
    <w:name w:val="Body text (2) + Italic"/>
    <w:basedOn w:val="CharStyle13"/>
    <w:rPr>
      <w:lang w:val="en-US" w:eastAsia="en-US" w:bidi="en-US"/>
      <w:i/>
      <w:iCs/>
      <w:u w:val="single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Palatino Linotype" w:eastAsia="Palatino Linotype" w:hAnsi="Palatino Linotype" w:cs="Palatino Linotyp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600" w:after="600" w:line="0" w:lineRule="exact"/>
      <w:ind w:hanging="12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jc w:val="both"/>
      <w:spacing w:before="600" w:line="391" w:lineRule="exact"/>
      <w:ind w:hanging="12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line="407" w:lineRule="exact"/>
      <w:ind w:hanging="12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outlineLvl w:val="1"/>
      <w:spacing w:line="40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both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