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4" w:line="220" w:lineRule="exact"/>
        <w:ind w:left="1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20" w:line="220" w:lineRule="exact"/>
        <w:ind w:left="1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Kamus dan Alkitab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34" w:line="240" w:lineRule="exact"/>
        <w:ind w:left="66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Daryanto. </w:t>
      </w:r>
      <w:r>
        <w:rPr>
          <w:rStyle w:val="CharStyle5"/>
        </w:rPr>
        <w:t>Kamus Lengkap Bahasa Indonesia.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Surabaya: Penerbit Apollo, 1998.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34" w:line="248" w:lineRule="exact"/>
        <w:ind w:left="66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Newman JR, Barclay M. </w:t>
      </w:r>
      <w:r>
        <w:rPr>
          <w:rStyle w:val="CharStyle5"/>
        </w:rPr>
        <w:t>Kamus Yunani-Indonesia.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2016.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69" w:line="256" w:lineRule="exact"/>
        <w:ind w:left="66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Tammu, </w:t>
      </w:r>
      <w:r>
        <w:rPr>
          <w:rStyle w:val="CharStyle6"/>
        </w:rPr>
        <w:t>J.</w:t>
      </w:r>
      <w:r>
        <w:rPr>
          <w:rStyle w:val="CharStyle7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H. Van der Veen,. </w:t>
      </w:r>
      <w:r>
        <w:rPr>
          <w:rStyle w:val="CharStyle5"/>
        </w:rPr>
        <w:t>Kamus Toraja-Indonesia.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Rantepao: PT. Sulo, 2016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88" w:line="220" w:lineRule="exact"/>
        <w:ind w:left="660" w:right="0" w:hanging="660"/>
      </w:pPr>
      <w:r>
        <w:rPr>
          <w:rStyle w:val="CharStyle5"/>
        </w:rPr>
        <w:t>Sura’Madaru.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LAI, 2015.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61" w:line="220" w:lineRule="exact"/>
        <w:ind w:left="1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Artikel dan JurnaL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75"/>
        <w:ind w:left="660" w:right="0"/>
      </w:pPr>
      <w:r>
        <w:rPr>
          <w:rStyle w:val="CharStyle10"/>
          <w:i w:val="0"/>
          <w:iCs w:val="0"/>
        </w:rPr>
        <w:t xml:space="preserve">Appulembang, Matius. </w:t>
      </w:r>
      <w:r>
        <w:rPr>
          <w:lang w:val="en-US" w:eastAsia="en-US" w:bidi="en-US"/>
          <w:w w:val="100"/>
          <w:color w:val="000000"/>
          <w:position w:val="0"/>
        </w:rPr>
        <w:t>Parandangan Ada</w:t>
      </w:r>
      <w:r>
        <w:rPr>
          <w:rStyle w:val="CharStyle10"/>
          <w:i w:val="0"/>
          <w:iCs w:val="0"/>
        </w:rPr>
        <w:t xml:space="preserve">’ </w:t>
      </w:r>
      <w:r>
        <w:rPr>
          <w:lang w:val="en-US" w:eastAsia="en-US" w:bidi="en-US"/>
          <w:w w:val="100"/>
          <w:color w:val="000000"/>
          <w:position w:val="0"/>
        </w:rPr>
        <w:t>Kabupaten Tana Toraja Aluk Bua'.</w:t>
      </w:r>
      <w:r>
        <w:rPr>
          <w:rStyle w:val="CharStyle10"/>
          <w:i w:val="0"/>
          <w:iCs w:val="0"/>
        </w:rPr>
        <w:t xml:space="preserve"> Tana Toraja, 2018.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8" w:line="220" w:lineRule="exact"/>
        <w:ind w:left="66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Church, Hop. “Korban Penghapus Dosa”, </w:t>
      </w:r>
      <w:r>
        <w:fldChar w:fldCharType="begin"/>
      </w:r>
      <w:r>
        <w:rPr>
          <w:color w:val="000000"/>
        </w:rPr>
        <w:instrText> HYPERLINK "https://hop.church/daily-"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https://hop.church/daily-</w:t>
      </w:r>
      <w:r>
        <w:fldChar w:fldCharType="end"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161" w:line="220" w:lineRule="exact"/>
        <w:ind w:left="0" w:right="26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hope/korban-penghapus-dosa/ (diakses 26 April 2021, pukul 15.12).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line="264" w:lineRule="exact"/>
        <w:ind w:left="66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Miftah Rezkla, Salsabila "Langkah-langkah Menggunakan Teknik Analisis Data Kualitatif’, </w:t>
      </w:r>
      <w:r>
        <w:fldChar w:fldCharType="begin"/>
      </w:r>
      <w:r>
        <w:rPr>
          <w:color w:val="000000"/>
        </w:rPr>
        <w:instrText> HYPERLINK "https://www.dqlab.id/data-analisis-pahami-tekhnik-pengumpulan-data"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https://www.dqlab.id/data-analisis-pahami-tekhnik- pengumpulan-data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(diakses 19 April 2021).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66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Wijaya, Hengki “Kajian Teologis Tentang Penyembahan Berdasarkan Injil Yohanes 4:24,” </w:t>
      </w:r>
      <w:r>
        <w:rPr>
          <w:rStyle w:val="CharStyle5"/>
        </w:rPr>
        <w:t>Jurnal J affray,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Vol. 13, No. 1 (April 2015).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62" w:line="220" w:lineRule="exact"/>
        <w:ind w:left="28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Buku Teks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72" w:lineRule="exact"/>
        <w:ind w:left="66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Ada’, John Liku. </w:t>
      </w:r>
      <w:r>
        <w:rPr>
          <w:rStyle w:val="CharStyle5"/>
        </w:rPr>
        <w:t>Aluk Todolo Menantikan Kristus,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Gunung Sopai: Yogyakarta,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0" w:line="280" w:lineRule="exact"/>
        <w:ind w:left="660" w:right="0"/>
      </w:pPr>
      <w:r>
        <w:rPr>
          <w:rStyle w:val="CharStyle10"/>
          <w:i w:val="0"/>
          <w:iCs w:val="0"/>
        </w:rPr>
        <w:t xml:space="preserve">Brake, Andrew. </w:t>
      </w:r>
      <w:r>
        <w:rPr>
          <w:lang w:val="en-US" w:eastAsia="en-US" w:bidi="en-US"/>
          <w:w w:val="100"/>
          <w:color w:val="000000"/>
          <w:position w:val="0"/>
        </w:rPr>
        <w:t xml:space="preserve">Spiritual Formation: Menjadi Serupa dengan Kristus. </w:t>
      </w:r>
      <w:r>
        <w:rPr>
          <w:rStyle w:val="CharStyle10"/>
          <w:i w:val="0"/>
          <w:iCs w:val="0"/>
        </w:rPr>
        <w:t>Bandung: Kaiam Hidup, 2014.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0" w:line="280" w:lineRule="exact"/>
        <w:ind w:left="66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Gutrie, Donald. </w:t>
      </w:r>
      <w:r>
        <w:rPr>
          <w:rStyle w:val="CharStyle5"/>
        </w:rPr>
        <w:t>Teologi Perjanjian Baru 1.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0" w:line="280" w:lineRule="exact"/>
        <w:ind w:left="660" w:right="0"/>
      </w:pPr>
      <w:r>
        <w:rPr>
          <w:rStyle w:val="CharStyle10"/>
          <w:i w:val="0"/>
          <w:iCs w:val="0"/>
        </w:rPr>
        <w:t xml:space="preserve">Jian, Wihaija. </w:t>
      </w:r>
      <w:r>
        <w:rPr>
          <w:lang w:val="en-US" w:eastAsia="en-US" w:bidi="en-US"/>
          <w:w w:val="100"/>
          <w:color w:val="000000"/>
          <w:position w:val="0"/>
        </w:rPr>
        <w:t>Persembahan yang Baik dari Tuhan untuk Tuhan.</w:t>
      </w:r>
      <w:r>
        <w:rPr>
          <w:rStyle w:val="CharStyle10"/>
          <w:i w:val="0"/>
          <w:iCs w:val="0"/>
        </w:rPr>
        <w:t xml:space="preserve"> Bandung: Kaiam Hidup, 2001.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0" w:line="280" w:lineRule="exact"/>
        <w:ind w:left="66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Kabanga’, Andarias. </w:t>
      </w:r>
      <w:r>
        <w:rPr>
          <w:rStyle w:val="CharStyle5"/>
        </w:rPr>
        <w:t>ManusiaMati Seuluhnya.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Media Pressindo, 2002.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66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LaSor, W.S. dkk., </w:t>
      </w:r>
      <w:r>
        <w:rPr>
          <w:rStyle w:val="CharStyle5"/>
        </w:rPr>
        <w:t>Pengantar Perjanjian Lama 1.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2016.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74" w:line="240" w:lineRule="exact"/>
        <w:ind w:left="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Mac Arthur, John. </w:t>
      </w:r>
      <w:r>
        <w:rPr>
          <w:rStyle w:val="CharStyle5"/>
        </w:rPr>
        <w:t>Prioritas Utama dalam Penyembahan.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Kalam Hidup. 2001.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74"/>
        <w:ind w:left="700" w:right="0"/>
      </w:pPr>
      <w:r>
        <w:rPr>
          <w:rStyle w:val="CharStyle13"/>
          <w:i w:val="0"/>
          <w:iCs w:val="0"/>
        </w:rPr>
        <w:t xml:space="preserve">Mardalis. </w:t>
      </w:r>
      <w:r>
        <w:rPr>
          <w:lang w:val="en-US" w:eastAsia="en-US" w:bidi="en-US"/>
          <w:w w:val="100"/>
          <w:color w:val="000000"/>
          <w:position w:val="0"/>
        </w:rPr>
        <w:t>Metode Penelitian Suatu Pendekatan Proposal.</w:t>
      </w:r>
      <w:r>
        <w:rPr>
          <w:rStyle w:val="CharStyle13"/>
          <w:i w:val="0"/>
          <w:iCs w:val="0"/>
        </w:rPr>
        <w:t xml:space="preserve"> Jakarta: Bumi Aksara. 2010.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0" w:line="256" w:lineRule="exact"/>
        <w:ind w:left="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Moleong, Lexy J. </w:t>
      </w:r>
      <w:r>
        <w:rPr>
          <w:rStyle w:val="CharStyle5"/>
        </w:rPr>
        <w:t>Metodologi Penelitian Kualitatif, Edisi Revisi.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PT. Remaja Rosdakarya, 2010.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09" w:line="256" w:lineRule="exact"/>
        <w:ind w:left="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Paterson, Robert M. </w:t>
      </w:r>
      <w:r>
        <w:rPr>
          <w:rStyle w:val="CharStyle5"/>
        </w:rPr>
        <w:t>Tafsiran Alkitab Kitab Imamat.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2011.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3" w:line="220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Patilima, Hamid. </w:t>
      </w:r>
      <w:r>
        <w:rPr>
          <w:rStyle w:val="CharStyle5"/>
        </w:rPr>
        <w:t>Metode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Alfabeta, 2011.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74" w:line="256" w:lineRule="exact"/>
        <w:ind w:left="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Peters, George W. </w:t>
      </w:r>
      <w:r>
        <w:rPr>
          <w:rStyle w:val="CharStyle5"/>
        </w:rPr>
        <w:t>A Biblical Theology of Missions.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Malang: Gandum Mas, 2006.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0" w:line="264" w:lineRule="exact"/>
        <w:ind w:left="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Pfeiffer, Charles F. </w:t>
      </w:r>
      <w:r>
        <w:rPr>
          <w:rStyle w:val="CharStyle5"/>
        </w:rPr>
        <w:t>Tafsiran Alkitab Wyclijfe Volume 1,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Malang: Gandum Mas, 2014.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15" w:line="264" w:lineRule="exact"/>
        <w:ind w:left="700" w:right="0"/>
      </w:pPr>
      <w:r>
        <w:rPr>
          <w:rStyle w:val="CharStyle13"/>
          <w:i w:val="0"/>
          <w:iCs w:val="0"/>
        </w:rPr>
        <w:t xml:space="preserve">Redman, Matt. </w:t>
      </w:r>
      <w:r>
        <w:rPr>
          <w:lang w:val="en-US" w:eastAsia="en-US" w:bidi="en-US"/>
          <w:w w:val="100"/>
          <w:color w:val="000000"/>
          <w:position w:val="0"/>
        </w:rPr>
        <w:t>Menyembah dalam Roh dan Kebenaran.</w:t>
      </w:r>
      <w:r>
        <w:rPr>
          <w:rStyle w:val="CharStyle13"/>
          <w:i w:val="0"/>
          <w:iCs w:val="0"/>
        </w:rPr>
        <w:t xml:space="preserve"> Yogyakarta: ANDI, </w:t>
      </w:r>
      <w:r>
        <w:rPr>
          <w:rStyle w:val="CharStyle14"/>
          <w:i w:val="0"/>
          <w:iCs w:val="0"/>
        </w:rPr>
        <w:t>2010</w:t>
      </w:r>
      <w:r>
        <w:rPr>
          <w:rStyle w:val="CharStyle15"/>
          <w:i w:val="0"/>
          <w:iCs w:val="0"/>
        </w:rPr>
        <w:t>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09" w:line="220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Renit, Asardya </w:t>
      </w:r>
      <w:r>
        <w:rPr>
          <w:rStyle w:val="CharStyle5"/>
        </w:rPr>
        <w:t>Hidup yang Baru.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Kalam Hidup, </w:t>
      </w:r>
      <w:r>
        <w:rPr>
          <w:rStyle w:val="CharStyle5"/>
        </w:rPr>
        <w:t>2016.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67" w:line="264" w:lineRule="exact"/>
        <w:ind w:left="700" w:right="0"/>
      </w:pPr>
      <w:r>
        <w:rPr>
          <w:rStyle w:val="CharStyle13"/>
          <w:i w:val="0"/>
          <w:iCs w:val="0"/>
        </w:rPr>
        <w:t xml:space="preserve">Ronda, Daniel. </w:t>
      </w:r>
      <w:r>
        <w:rPr>
          <w:lang w:val="en-US" w:eastAsia="en-US" w:bidi="en-US"/>
          <w:w w:val="100"/>
          <w:color w:val="000000"/>
          <w:position w:val="0"/>
        </w:rPr>
        <w:t>Dasar Teologi yang Teguh: Panduan Teologi Sistematika di Perguruan Tinggi,</w:t>
      </w:r>
      <w:r>
        <w:rPr>
          <w:rStyle w:val="CharStyle13"/>
          <w:i w:val="0"/>
          <w:iCs w:val="0"/>
        </w:rPr>
        <w:t xml:space="preserve"> Makassar: STT Jaffray Makassar.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Sarira, Y.A. </w:t>
      </w:r>
      <w:r>
        <w:rPr>
          <w:rStyle w:val="CharStyle5"/>
        </w:rPr>
        <w:t>Aluk Rambu Solo’,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Tana Toraja: PUSBANG Gereja Toraja, 1996.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96" w:line="220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Schnittjer, Gary Edward. </w:t>
      </w:r>
      <w:r>
        <w:rPr>
          <w:rStyle w:val="CharStyle5"/>
        </w:rPr>
        <w:t>The Torah Story.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Gandum Mas, 2015.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0" w:line="280" w:lineRule="exact"/>
        <w:ind w:left="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Tallulembang, Bert dan Michael Andin. </w:t>
      </w:r>
      <w:r>
        <w:rPr>
          <w:rStyle w:val="CharStyle5"/>
        </w:rPr>
        <w:t xml:space="preserve">Toraja Tallu Lembangna.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Yogyakarta: Gunung Sopai, 2019.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28" w:line="280" w:lineRule="exact"/>
        <w:ind w:left="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Tangdilintin, L.T. </w:t>
      </w:r>
      <w:r>
        <w:rPr>
          <w:rStyle w:val="CharStyle5"/>
        </w:rPr>
        <w:t>Toraja dan Kebudayaannya</w:t>
      </w:r>
      <w:r>
        <w:rPr>
          <w:lang w:val="en-US" w:eastAsia="en-US" w:bidi="en-US"/>
          <w:w w:val="100"/>
          <w:spacing w:val="0"/>
          <w:color w:val="000000"/>
          <w:position w:val="0"/>
        </w:rPr>
        <w:t>, Tana Toraja: Yayasan Lepongan Bulan, 1981.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04" w:line="220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Tule, Philipus. </w:t>
      </w:r>
      <w:r>
        <w:rPr>
          <w:rStyle w:val="CharStyle5"/>
        </w:rPr>
        <w:t>1Imu Perbandingan Agama.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Ledalero, 2016.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74" w:line="280" w:lineRule="exact"/>
        <w:ind w:left="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van Niftrik, G. C. &amp; B. J. Boland. </w:t>
      </w:r>
      <w:r>
        <w:rPr>
          <w:rStyle w:val="CharStyle5"/>
        </w:rPr>
        <w:t>Dogmatika Masa Kini.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2016.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34" w:line="288" w:lineRule="exact"/>
        <w:ind w:left="600" w:right="0" w:hanging="600"/>
      </w:pPr>
      <w:r>
        <w:rPr>
          <w:rStyle w:val="CharStyle13"/>
          <w:i w:val="0"/>
          <w:iCs w:val="0"/>
        </w:rPr>
        <w:t xml:space="preserve">Zuriah, Nurul. </w:t>
      </w:r>
      <w:r>
        <w:rPr>
          <w:lang w:val="en-US" w:eastAsia="en-US" w:bidi="en-US"/>
          <w:w w:val="100"/>
          <w:color w:val="000000"/>
          <w:position w:val="0"/>
        </w:rPr>
        <w:t>Metodologi Penelitian Sosial dan Pendidikan.</w:t>
      </w:r>
      <w:r>
        <w:rPr>
          <w:rStyle w:val="CharStyle13"/>
          <w:i w:val="0"/>
          <w:iCs w:val="0"/>
        </w:rPr>
        <w:t xml:space="preserve"> Jakarta: Bumi Aksara,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44" w:line="220" w:lineRule="exact"/>
        <w:ind w:left="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Wawamcara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Iwan, Indo’. Matangli, 25 Juni 2021.</w:t>
      </w:r>
    </w:p>
    <w:sectPr>
      <w:footnotePr>
        <w:pos w:val="pageBottom"/>
        <w:numFmt w:val="decimal"/>
        <w:numRestart w:val="continuous"/>
      </w:footnotePr>
      <w:pgSz w:w="12240" w:h="15840"/>
      <w:pgMar w:top="1891" w:left="2087" w:right="3137" w:bottom="156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">
    <w:name w:val="Body text (2) + Italic,Spacing 0 pt"/>
    <w:basedOn w:val="CharStyle4"/>
    <w:rPr>
      <w:lang w:val="en-US" w:eastAsia="en-US" w:bidi="en-US"/>
      <w:i/>
      <w:iCs/>
      <w:w w:val="100"/>
      <w:spacing w:val="-10"/>
      <w:color w:val="000000"/>
      <w:position w:val="0"/>
    </w:rPr>
  </w:style>
  <w:style w:type="character" w:customStyle="1" w:styleId="CharStyle6">
    <w:name w:val="Body text (2) + Candara,12 pt,Italic"/>
    <w:basedOn w:val="CharStyle4"/>
    <w:rPr>
      <w:lang w:val="en-US" w:eastAsia="en-US" w:bidi="en-US"/>
      <w:i/>
      <w:iCs/>
      <w:sz w:val="24"/>
      <w:szCs w:val="24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7">
    <w:name w:val="Body text (2) + 12 pt"/>
    <w:basedOn w:val="CharStyle4"/>
    <w:rPr>
      <w:lang w:val="en-US" w:eastAsia="en-US" w:bidi="en-US"/>
      <w:sz w:val="24"/>
      <w:szCs w:val="24"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  <w:style w:type="character" w:customStyle="1" w:styleId="CharStyle10">
    <w:name w:val="Body text (3) + Not Italic,Spacing 0 pt"/>
    <w:basedOn w:val="CharStyle9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  <w:style w:type="character" w:customStyle="1" w:styleId="CharStyle13">
    <w:name w:val="Body text (4) + Not Italic,Spacing 0 pt"/>
    <w:basedOn w:val="CharStyle12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4">
    <w:name w:val="Body text (4) + Not Italic,Spacing 0 pt"/>
    <w:basedOn w:val="CharStyle12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5">
    <w:name w:val="Body text (4) + 9 pt,Not Italic,Spacing 0 pt"/>
    <w:basedOn w:val="CharStyle12"/>
    <w:rPr>
      <w:lang w:val="en-US" w:eastAsia="en-US" w:bidi="en-US"/>
      <w:i/>
      <w:iCs/>
      <w:sz w:val="18"/>
      <w:szCs w:val="18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center"/>
      <w:spacing w:after="240" w:line="0" w:lineRule="exact"/>
      <w:ind w:hanging="7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before="240" w:after="240" w:line="264" w:lineRule="exact"/>
      <w:ind w:hanging="66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spacing w:before="180" w:after="180" w:line="248" w:lineRule="exact"/>
      <w:ind w:hanging="70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